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Release: September 7, 2022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13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RE: Ohio Capital Conference/Official Pay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63" w:lineRule="auto"/>
        <w:ind w:left="12" w:right="37" w:firstLine="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For the past several years, official pay in Central Ohio was determined through an agreement with the Central Ohio Interscholastic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Athletic Administrators Association (COIAAA). This agreement was designed to create consistency within the 32 member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school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 of the OCC as well as other schools/conferences in Central Ohio. </w:t>
      </w:r>
    </w:p>
    <w:p w:rsidR="003C2F9B" w:rsidRPr="006E744B" w:rsidRDefault="006E744B" w:rsidP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1" w:right="12" w:firstLine="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Last winter, the COIAAA notified its member schools that they would no longer be charged with the assignment of official pay— leaving the individual conferences/schools in Central Ohio to develop their own pay schedules. The OCC sponsors 25 high school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sp</w:t>
      </w:r>
      <w:r>
        <w:rPr>
          <w:rFonts w:ascii="Calibri" w:eastAsia="Calibri" w:hAnsi="Calibri" w:cs="Calibri"/>
          <w:color w:val="000000"/>
          <w:sz w:val="18"/>
          <w:szCs w:val="18"/>
        </w:rPr>
        <w:t>orts, and a significant number of those Official Associations requested an immediate increase in pay. The OCC formed 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15-member sub-committee to research and investigate official pay throughout the state of Ohio and develop a plan for the </w:t>
      </w:r>
      <w:bookmarkStart w:id="0" w:name="_GoBack"/>
      <w:r>
        <w:rPr>
          <w:rFonts w:ascii="Calibri" w:eastAsia="Calibri" w:hAnsi="Calibri" w:cs="Calibri"/>
          <w:color w:val="000000"/>
          <w:sz w:val="18"/>
          <w:szCs w:val="18"/>
        </w:rPr>
        <w:t>OCC.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This comm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ittee consisted of building principals, athletic directors, and league assigners for official crews. The first </w:t>
      </w:r>
      <w:bookmarkEnd w:id="0"/>
      <w:r>
        <w:rPr>
          <w:rFonts w:ascii="Calibri" w:eastAsia="Calibri" w:hAnsi="Calibri" w:cs="Calibri"/>
          <w:color w:val="000000"/>
          <w:sz w:val="18"/>
          <w:szCs w:val="18"/>
        </w:rPr>
        <w:t>objective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of the committee was to establish data on similar pay in Ohio. Pay scales were obtain</w:t>
      </w:r>
      <w:r>
        <w:rPr>
          <w:rFonts w:ascii="Calibri" w:eastAsia="Calibri" w:hAnsi="Calibri" w:cs="Calibri"/>
          <w:color w:val="000000"/>
          <w:sz w:val="18"/>
          <w:szCs w:val="18"/>
        </w:rPr>
        <w:t>ed from the following similar conferences: Great</w:t>
      </w:r>
      <w:r>
        <w:rPr>
          <w:rFonts w:ascii="Calibri" w:eastAsia="Calibri" w:hAnsi="Calibri" w:cs="Calibri"/>
          <w:color w:val="000000"/>
          <w:sz w:val="18"/>
          <w:szCs w:val="18"/>
        </w:rPr>
        <w:t>er Miami Conference (GMC/SW Ohio), Greater Catholic League (GCL South Division/SW Ohio), Greater Western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Ohio Conference (GWOC/West-Central Ohio), Greater Cleveland Conference (GCC/NE Ohio), and the Three Rivers Athletic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Conference (TRAC/NW Ohio). The Co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mmittee established the average official pay within those conferences.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63" w:lineRule="auto"/>
        <w:ind w:right="26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The Committee also looked at a formula based on the entry-level tournament pay for Ohio High School Athletic Association (</w:t>
      </w:r>
      <w:r>
        <w:rPr>
          <w:rFonts w:ascii="Calibri" w:eastAsia="Calibri" w:hAnsi="Calibri" w:cs="Calibri"/>
          <w:color w:val="000000"/>
          <w:sz w:val="18"/>
          <w:szCs w:val="18"/>
        </w:rPr>
        <w:t>OHSAA) officials. For the majority of OCC sports, the formula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was set at 95% (varsity), 80% (JV) and 70% (9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/Middle Level).  There was a belief on the Committee that conference pay should not exceed the pay for OHSAA tournaments.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5" w:hanging="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Then, a comparison was done of the league average and the percentage formula, and kep</w:t>
      </w:r>
      <w:r>
        <w:rPr>
          <w:rFonts w:ascii="Calibri" w:eastAsia="Calibri" w:hAnsi="Calibri" w:cs="Calibri"/>
          <w:color w:val="000000"/>
          <w:sz w:val="18"/>
          <w:szCs w:val="18"/>
        </w:rPr>
        <w:t>t the HIGHER of the two numbers as part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of the OCC pay schedule. If the OHSAA were to increase tournament pay, the percentage formula would be adjusted. This summer</w:t>
      </w:r>
      <w:r>
        <w:rPr>
          <w:rFonts w:ascii="Calibri" w:eastAsia="Calibri" w:hAnsi="Calibri" w:cs="Calibri"/>
          <w:color w:val="000000"/>
          <w:sz w:val="18"/>
          <w:szCs w:val="18"/>
        </w:rPr>
        <w:t>, the OHSAA increased tournament pay in some sports and our formula was immediately increa</w:t>
      </w:r>
      <w:r>
        <w:rPr>
          <w:rFonts w:ascii="Calibri" w:eastAsia="Calibri" w:hAnsi="Calibri" w:cs="Calibri"/>
          <w:color w:val="000000"/>
          <w:sz w:val="18"/>
          <w:szCs w:val="18"/>
        </w:rPr>
        <w:t>sed to represent the higher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amounts. 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64" w:lineRule="auto"/>
        <w:ind w:left="5" w:right="169" w:hanging="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The OCC also included an increase in varsity-level pay for the next three years (‘23-’24, ‘24-’25, ‘25-’26). We will continue to monitor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the League Average and the OHSAA Percentage and take the HIGHER of the three figures. However, there will be a standard</w:t>
      </w:r>
      <w:r>
        <w:rPr>
          <w:rFonts w:ascii="Calibri" w:eastAsia="Calibri" w:hAnsi="Calibri" w:cs="Calibri"/>
          <w:color w:val="000000"/>
          <w:sz w:val="18"/>
          <w:szCs w:val="18"/>
        </w:rPr>
        <w:t>/minimum increase for the next three years. Other conferences in Central Ohio have adopted similar pay schedules, so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there is consistency with official pay.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63" w:lineRule="auto"/>
        <w:ind w:left="3" w:right="11" w:hanging="3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These increases, which were unanimously approved by the OCC, represent a significant increase i</w:t>
      </w:r>
      <w:r>
        <w:rPr>
          <w:rFonts w:ascii="Calibri" w:eastAsia="Calibri" w:hAnsi="Calibri" w:cs="Calibri"/>
          <w:color w:val="000000"/>
          <w:sz w:val="18"/>
          <w:szCs w:val="18"/>
        </w:rPr>
        <w:t>n official pay. These increases will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total over $700,000 for the 32-member schools of the OCC and are a significant challenge to the individual athletic departments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. 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63" w:lineRule="auto"/>
        <w:ind w:left="1" w:right="43" w:firstLine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While the vast majority of our Official Associations have endorsed the pay increases, </w:t>
      </w:r>
      <w:r>
        <w:rPr>
          <w:rFonts w:ascii="Calibri" w:eastAsia="Calibri" w:hAnsi="Calibri" w:cs="Calibri"/>
          <w:color w:val="000000"/>
          <w:sz w:val="18"/>
          <w:szCs w:val="18"/>
        </w:rPr>
        <w:t>there are still some who believe they should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be paid more. As an example, official pay in the sport of Lacrosse has benefitted from an increase in pay from $60.00 in 2018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(Varsity level) to the new figure of $85.00 for this coming season. This is an incr</w:t>
      </w:r>
      <w:r>
        <w:rPr>
          <w:rFonts w:ascii="Calibri" w:eastAsia="Calibri" w:hAnsi="Calibri" w:cs="Calibri"/>
          <w:color w:val="000000"/>
          <w:sz w:val="18"/>
          <w:szCs w:val="18"/>
        </w:rPr>
        <w:t>ease of over 41%. In addition, there is now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 formula in place that guarantees an increase for the next three years. We have received word from the Lacrosse Association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that our pay schedule is simply not enough.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64" w:lineRule="auto"/>
        <w:ind w:right="62" w:hanging="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The OCC Athletic Directors have been put in a very difficult situation of balancing budgets or opening Pandora’s Box by simply paying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what each Association may request. The OCC feels that the approved increases, along with the establishment of a formula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going forward, constitutes a commitment to do what is fair and equitable for all parties. We have worked diligently to keep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our student-athletes from being in the center of this issue.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Michael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Starner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 Principal/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Olentangy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Liberty and President of the OCC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3C2F9B" w:rsidRDefault="006E74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ind w:left="13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Steve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Glesenkamp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 Athletic Director/Delaware Hayes and Chair of the OCC Officials Committee Ken Baker, Commissioner of the OCC</w:t>
      </w:r>
    </w:p>
    <w:sectPr w:rsidR="003C2F9B">
      <w:headerReference w:type="default" r:id="rId6"/>
      <w:pgSz w:w="12240" w:h="15840"/>
      <w:pgMar w:top="1828" w:right="1440" w:bottom="182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744B">
      <w:pPr>
        <w:spacing w:line="240" w:lineRule="auto"/>
      </w:pPr>
      <w:r>
        <w:separator/>
      </w:r>
    </w:p>
  </w:endnote>
  <w:endnote w:type="continuationSeparator" w:id="0">
    <w:p w:rsidR="00000000" w:rsidRDefault="006E7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744B">
      <w:pPr>
        <w:spacing w:line="240" w:lineRule="auto"/>
      </w:pPr>
      <w:r>
        <w:separator/>
      </w:r>
    </w:p>
  </w:footnote>
  <w:footnote w:type="continuationSeparator" w:id="0">
    <w:p w:rsidR="00000000" w:rsidRDefault="006E7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4B" w:rsidRDefault="006E744B">
    <w:pPr>
      <w:spacing w:line="240" w:lineRule="auto"/>
      <w:jc w:val="center"/>
    </w:pPr>
  </w:p>
  <w:p w:rsidR="003C2F9B" w:rsidRDefault="006E744B">
    <w:pPr>
      <w:spacing w:line="240" w:lineRule="auto"/>
      <w:jc w:val="center"/>
    </w:pPr>
    <w:r>
      <w:rPr>
        <w:rFonts w:ascii="Calibri" w:eastAsia="Calibri" w:hAnsi="Calibri" w:cs="Calibri"/>
        <w:b/>
        <w:noProof/>
        <w:sz w:val="28"/>
        <w:szCs w:val="28"/>
      </w:rPr>
      <w:drawing>
        <wp:inline distT="0" distB="0" distL="0" distR="0">
          <wp:extent cx="1828800" cy="619125"/>
          <wp:effectExtent l="0" t="0" r="0" b="0"/>
          <wp:docPr id="1" name="image1.jpg" descr="occ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cc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9B"/>
    <w:rsid w:val="003C2F9B"/>
    <w:rsid w:val="006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12A1"/>
  <w15:docId w15:val="{2C0095ED-F2BF-4955-BF25-89EAFB5C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74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4B"/>
  </w:style>
  <w:style w:type="paragraph" w:styleId="Footer">
    <w:name w:val="footer"/>
    <w:basedOn w:val="Normal"/>
    <w:link w:val="FooterChar"/>
    <w:uiPriority w:val="99"/>
    <w:unhideWhenUsed/>
    <w:rsid w:val="006E74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Bosser, Pam</dc:creator>
  <cp:lastModifiedBy>Windows User</cp:lastModifiedBy>
  <cp:revision>2</cp:revision>
  <dcterms:created xsi:type="dcterms:W3CDTF">2022-09-07T17:40:00Z</dcterms:created>
  <dcterms:modified xsi:type="dcterms:W3CDTF">2022-09-07T17:40:00Z</dcterms:modified>
</cp:coreProperties>
</file>