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Adopted: </w:t>
      </w:r>
      <w:r w:rsidDel="00000000" w:rsidR="00000000" w:rsidRPr="00000000">
        <w:rPr>
          <w:rFonts w:ascii="Verdana" w:cs="Verdana" w:eastAsia="Verdana" w:hAnsi="Verdana"/>
          <w:sz w:val="18"/>
          <w:szCs w:val="18"/>
          <w:u w:val="single"/>
          <w:rtl w:val="0"/>
        </w:rPr>
        <w:t xml:space="preserve">Aug, 2012</w:t>
      </w:r>
      <w:r w:rsidDel="00000000" w:rsidR="00000000" w:rsidRPr="00000000">
        <w:rPr>
          <w:rFonts w:ascii="Verdana" w:cs="Verdana" w:eastAsia="Verdana" w:hAnsi="Verdana"/>
          <w:sz w:val="18"/>
          <w:szCs w:val="18"/>
          <w:rtl w:val="0"/>
        </w:rPr>
        <w:tab/>
        <w:tab/>
        <w:tab/>
        <w:tab/>
        <w:tab/>
        <w:tab/>
        <w:tab/>
        <w:tab/>
        <w:t xml:space="preserve">Policy 733</w:t>
      </w:r>
    </w:p>
    <w:p w:rsidR="00000000" w:rsidDel="00000000" w:rsidP="00000000" w:rsidRDefault="00000000" w:rsidRPr="00000000" w14:paraId="00000002">
      <w:pPr>
        <w:keepNext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3">
      <w:pPr>
        <w:keepNext w:val="1"/>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Reviewed:</w:t>
      </w:r>
      <w:r w:rsidDel="00000000" w:rsidR="00000000" w:rsidRPr="00000000">
        <w:rPr>
          <w:rFonts w:ascii="Verdana" w:cs="Verdana" w:eastAsia="Verdana" w:hAnsi="Verdana"/>
          <w:sz w:val="18"/>
          <w:szCs w:val="18"/>
          <w:rtl w:val="0"/>
        </w:rPr>
        <w:t xml:space="preserve"> _</w:t>
      </w:r>
      <w:r w:rsidDel="00000000" w:rsidR="00000000" w:rsidRPr="00000000">
        <w:rPr>
          <w:rFonts w:ascii="Verdana" w:cs="Verdana" w:eastAsia="Verdana" w:hAnsi="Verdana"/>
          <w:i w:val="1"/>
          <w:sz w:val="18"/>
          <w:szCs w:val="18"/>
          <w:u w:val="single"/>
          <w:rtl w:val="0"/>
        </w:rPr>
        <w:t xml:space="preserve"> Oct, 2022</w:t>
        <w:tab/>
      </w:r>
      <w:r w:rsidDel="00000000" w:rsidR="00000000" w:rsidRPr="00000000">
        <w:rPr>
          <w:rtl w:val="0"/>
        </w:rPr>
      </w:r>
    </w:p>
    <w:p w:rsidR="00000000" w:rsidDel="00000000" w:rsidP="00000000" w:rsidRDefault="00000000" w:rsidRPr="00000000" w14:paraId="00000004">
      <w:pPr>
        <w:keepNext w:val="1"/>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5">
      <w:pPr>
        <w:keepNext w:val="1"/>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733</w:t>
        <w:tab/>
        <w:t xml:space="preserve">POST-ISSUANCE DEBT COMPLIANCE, Independent School District No. 2310 (Sibley East), Minnesota</w:t>
      </w:r>
    </w:p>
    <w:p w:rsidR="00000000" w:rsidDel="00000000" w:rsidP="00000000" w:rsidRDefault="00000000" w:rsidRPr="00000000" w14:paraId="0000000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School Board (the “Board”) of Independent School District No. 2310 (Sibley East), Minnesota (the “District”) has chosen, by policy, to take steps to help ensure that all obligations will be in compliance with all applicable federal regulations. This policy may be amended, as necessary, in the future. </w:t>
      </w:r>
    </w:p>
    <w:p w:rsidR="00000000" w:rsidDel="00000000" w:rsidP="00000000" w:rsidRDefault="00000000" w:rsidRPr="00000000" w14:paraId="0000000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9">
      <w:pPr>
        <w:keepNext w:val="1"/>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Background</w:t>
      </w:r>
    </w:p>
    <w:p w:rsidR="00000000" w:rsidDel="00000000" w:rsidP="00000000" w:rsidRDefault="00000000" w:rsidRPr="00000000" w14:paraId="0000000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Internal Revenue Service (IRS) is responsible for enforcing compliance with the Internal Revenue Code (the “Code”) and regulations promulgated thereunder (“Treasury Regulations”) governing certain obligations (for example: tax-exempt obligations, Build America Bonds, Recovery Zone Development Bonds and various “Tax Credit” Bonds).  The IRS encourages issuers and beneficiaries of these obligations to adopt and implement a post-issuance debt compliance policy and procedures to safeguard against post-issuance violations.   </w:t>
      </w:r>
    </w:p>
    <w:p w:rsidR="00000000" w:rsidDel="00000000" w:rsidP="00000000" w:rsidRDefault="00000000" w:rsidRPr="00000000" w14:paraId="0000000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0C">
      <w:pPr>
        <w:keepNext w:val="1"/>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Post-Issuance Debt Compliance Policy Objective</w:t>
      </w:r>
    </w:p>
    <w:p w:rsidR="00000000" w:rsidDel="00000000" w:rsidP="00000000" w:rsidRDefault="00000000" w:rsidRPr="00000000" w14:paraId="0000000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District desires to monitor these obligations to ensure compliance with the Code and Treasury Regulations.  To help ensure compliance, the District has developed the following policy (the “Post-Issuance Debt Compliance Policy”).  The Post-Issuance Debt Compliance Policy shall apply to the obligations mentioned above, including bonds, notes, loans, lease purchase contracts, lines of credit, commercial paper or any other form of debt that is subject to compliance.</w:t>
      </w:r>
    </w:p>
    <w:p w:rsidR="00000000" w:rsidDel="00000000" w:rsidP="00000000" w:rsidRDefault="00000000" w:rsidRPr="00000000" w14:paraId="0000000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0F">
      <w:pPr>
        <w:keepNext w:val="1"/>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Post-Issuance Debt Compliance Policy </w:t>
      </w:r>
    </w:p>
    <w:p w:rsidR="00000000" w:rsidDel="00000000" w:rsidP="00000000" w:rsidRDefault="00000000" w:rsidRPr="00000000" w14:paraId="0000001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Fiscal Affairs Manager is designated as the District’s agent who is responsible for post-issuance compliance of these obligations.  </w:t>
      </w:r>
    </w:p>
    <w:p w:rsidR="00000000" w:rsidDel="00000000" w:rsidP="00000000" w:rsidRDefault="00000000" w:rsidRPr="00000000" w14:paraId="00000011">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Fiscal Affairs Manager shall assemble all relevant documentation, records and activities required to ensure post-issuance debt compliance as further detailed in corresponding procedures (the “Post-Issuance Debt Compliance Procedures”). At a minimum, the Post-Issuance Debt Compliance Procedures for each qualifying obligation will address the following: </w:t>
      </w:r>
    </w:p>
    <w:p w:rsidR="00000000" w:rsidDel="00000000" w:rsidP="00000000" w:rsidRDefault="00000000" w:rsidRPr="00000000" w14:paraId="0000001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4">
      <w:pPr>
        <w:numPr>
          <w:ilvl w:val="0"/>
          <w:numId w:val="1"/>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General post-issuance compliance;</w:t>
      </w:r>
    </w:p>
    <w:p w:rsidR="00000000" w:rsidDel="00000000" w:rsidP="00000000" w:rsidRDefault="00000000" w:rsidRPr="00000000" w14:paraId="00000015">
      <w:pPr>
        <w:numPr>
          <w:ilvl w:val="0"/>
          <w:numId w:val="1"/>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Proper and timely use of obligation proceeds and obligation-financed property;</w:t>
      </w:r>
    </w:p>
    <w:p w:rsidR="00000000" w:rsidDel="00000000" w:rsidP="00000000" w:rsidRDefault="00000000" w:rsidRPr="00000000" w14:paraId="00000016">
      <w:pPr>
        <w:numPr>
          <w:ilvl w:val="0"/>
          <w:numId w:val="1"/>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Arbitrage yield restriction and rebate;</w:t>
      </w:r>
    </w:p>
    <w:p w:rsidR="00000000" w:rsidDel="00000000" w:rsidP="00000000" w:rsidRDefault="00000000" w:rsidRPr="00000000" w14:paraId="00000017">
      <w:pPr>
        <w:numPr>
          <w:ilvl w:val="0"/>
          <w:numId w:val="1"/>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Timely filings and other general requirements;</w:t>
      </w:r>
    </w:p>
    <w:p w:rsidR="00000000" w:rsidDel="00000000" w:rsidP="00000000" w:rsidRDefault="00000000" w:rsidRPr="00000000" w14:paraId="00000018">
      <w:pPr>
        <w:numPr>
          <w:ilvl w:val="0"/>
          <w:numId w:val="1"/>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Additional undertakings or activities that support points 1 through 4 above;</w:t>
      </w:r>
    </w:p>
    <w:p w:rsidR="00000000" w:rsidDel="00000000" w:rsidP="00000000" w:rsidRDefault="00000000" w:rsidRPr="00000000" w14:paraId="00000019">
      <w:pPr>
        <w:numPr>
          <w:ilvl w:val="0"/>
          <w:numId w:val="1"/>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Maintenance of proper records related to the obligations and the investment of proceeds of obligations;</w:t>
      </w:r>
    </w:p>
    <w:p w:rsidR="00000000" w:rsidDel="00000000" w:rsidP="00000000" w:rsidRDefault="00000000" w:rsidRPr="00000000" w14:paraId="0000001A">
      <w:pPr>
        <w:numPr>
          <w:ilvl w:val="0"/>
          <w:numId w:val="1"/>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Other requirements that become necessary in the future. </w:t>
      </w:r>
    </w:p>
    <w:p w:rsidR="00000000" w:rsidDel="00000000" w:rsidP="00000000" w:rsidRDefault="00000000" w:rsidRPr="00000000" w14:paraId="0000001B">
      <w:pPr>
        <w:ind w:left="1080"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Fiscal Affairs Manager shall apply the Post-Issuance Debt Compliance Procedures to each qualifying obligation and maintain a record of the results.  Further, the Fiscal Affairs Manager will ensure that the Post-Issuance Debt Compliance Policy and Procedures are updated on a regular and as needed basis.  </w:t>
      </w:r>
    </w:p>
    <w:p w:rsidR="00000000" w:rsidDel="00000000" w:rsidP="00000000" w:rsidRDefault="00000000" w:rsidRPr="00000000" w14:paraId="0000001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Fiscal Affairs Manager or any other individuals responsible for assisting the Fiscal Affairs Manager in maintaining records needed to ensure post-issuance debt compliance, are authorized to expend funds as needed to attend training or secure use of other educational resources for ensuring compliance such as consulting, publications, and compliance assistance.</w:t>
      </w:r>
    </w:p>
    <w:p w:rsidR="00000000" w:rsidDel="00000000" w:rsidP="00000000" w:rsidRDefault="00000000" w:rsidRPr="00000000" w14:paraId="0000001F">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Most of the provisions of this Post-Issuance Debt Compliance Policy are not applicable to taxable governmental obligations unless there is a reasonable possibility that the District may refund their taxable governmental obligation, in whole or in part, with the proceeds of a tax-exempt governmental obligation.  If this refunding possibility exists, then the Fiscal Affairs Manager shall treat the taxable governmental obligation as if such issue were an issue of tax-exempt governmental obligations and comply with the requirements of this Post-Issuance Debt Compliance Policy. </w:t>
      </w:r>
    </w:p>
    <w:p w:rsidR="00000000" w:rsidDel="00000000" w:rsidP="00000000" w:rsidRDefault="00000000" w:rsidRPr="00000000" w14:paraId="00000021">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2">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Private Activity Bonds</w:t>
      </w:r>
    </w:p>
    <w:p w:rsidR="00000000" w:rsidDel="00000000" w:rsidP="00000000" w:rsidRDefault="00000000" w:rsidRPr="00000000" w14:paraId="0000002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District may issue tax-exempt obligations that are “private activity” bonds because either (1) the bonds finance a facility that is owned by the District but used by one or more qualified 501(c)(3) organizations, or (2) the bonds are so-called “conduit bonds”, where the proceeds are loaned to a qualified 501(c)(3) organization or another private entity that finances activities eligible for tax-exempt financing under federal law (such as certain manufacturing projects and certain affordable housing projects).  Prior to the issuance of either of these types of bonds, the Fiscal Affairs Manager shall take steps necessary to ensure that such obligations will remain in compliance with the requirements of this Post-Issuance Debt Compliance Policy. </w:t>
      </w:r>
    </w:p>
    <w:p w:rsidR="00000000" w:rsidDel="00000000" w:rsidP="00000000" w:rsidRDefault="00000000" w:rsidRPr="00000000" w14:paraId="0000002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 a case where compliance activities are reasonably within the control of a private party (i.e., a 501(c)(3) organization or conduit borrower), the Fiscal Affairs Manager may determine that all or some portion of compliance responsibilities described in this Post-Issuance Debt Compliance Policy shall be assigned to the relevant party.  In the case of conduit bonds, the conduit borrower will be assigned all compliance responsibilities other than those required to be undertaken by the District under federal law.  In a case where the Fiscal Affairs Manager is concerned about the compliance ability of a private party, the Fiscal Affairs Manager may require that a trustee be retained to assist with record keeping for the obligation and/or that the trustee or such third party be responsible for all or some portion of the compliance responsibilities.</w:t>
      </w:r>
    </w:p>
    <w:p w:rsidR="00000000" w:rsidDel="00000000" w:rsidP="00000000" w:rsidRDefault="00000000" w:rsidRPr="00000000" w14:paraId="0000002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The Fiscal Affairs Manager is additionally authorized to seek the advice, as necessary, of bond counsel and/or its financial advisor to ensure the District is in compliance with this Post-Issuance Debt Compliance Policy. </w:t>
      </w:r>
    </w:p>
    <w:p w:rsidR="00000000" w:rsidDel="00000000" w:rsidP="00000000" w:rsidRDefault="00000000" w:rsidRPr="00000000" w14:paraId="0000002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Adopted this date August 20, 2012 by the School Board of Independent School District No. 2310 (Sibley East), Minnesota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sectPr>
      <w:pgSz w:h="15840" w:w="12240" w:orient="portrait"/>
      <w:pgMar w:bottom="1440" w:top="1800" w:left="1800" w:right="162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Arial" w:cs="Arial" w:eastAsia="Arial" w:hAnsi="Arial"/>
      <w:sz w:val="28"/>
      <w:szCs w:val="28"/>
    </w:rPr>
  </w:style>
  <w:style w:type="paragraph" w:styleId="Heading2">
    <w:name w:val="heading 2"/>
    <w:basedOn w:val="Normal"/>
    <w:next w:val="Normal"/>
    <w:pPr>
      <w:keepNext w:val="1"/>
      <w:keepLines w:val="1"/>
    </w:pPr>
    <w:rPr>
      <w:rFonts w:ascii="Arial" w:cs="Arial" w:eastAsia="Arial" w:hAnsi="Arial"/>
      <w:sz w:val="24"/>
      <w:szCs w:val="24"/>
    </w:rPr>
  </w:style>
  <w:style w:type="paragraph" w:styleId="Heading3">
    <w:name w:val="heading 3"/>
    <w:basedOn w:val="Normal"/>
    <w:next w:val="Normal"/>
    <w:pPr>
      <w:keepNext w:val="1"/>
      <w:keepLines w:val="1"/>
    </w:pPr>
    <w:rPr>
      <w:rFonts w:ascii="Arial" w:cs="Arial" w:eastAsia="Arial" w:hAnsi="Arial"/>
      <w:sz w:val="20"/>
      <w:szCs w:val="20"/>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aliases w:val="Standard Text"/>
    <w:qFormat w:val="1"/>
    <w:rsid w:val="00EB7271"/>
    <w:pPr>
      <w:spacing w:after="0" w:line="240" w:lineRule="auto"/>
    </w:pPr>
  </w:style>
  <w:style w:type="paragraph" w:styleId="Heading1">
    <w:name w:val="heading 1"/>
    <w:aliases w:val="StdHeading1"/>
    <w:basedOn w:val="Normal"/>
    <w:next w:val="Normal"/>
    <w:link w:val="Heading1Char"/>
    <w:uiPriority w:val="9"/>
    <w:qFormat w:val="1"/>
    <w:rsid w:val="002527DE"/>
    <w:pPr>
      <w:keepNext w:val="1"/>
      <w:keepLines w:val="1"/>
      <w:outlineLvl w:val="0"/>
    </w:pPr>
    <w:rPr>
      <w:rFonts w:ascii="Arial" w:hAnsi="Arial" w:cstheme="majorBidi" w:eastAsiaTheme="majorEastAsia"/>
      <w:bCs w:val="1"/>
      <w:sz w:val="28"/>
      <w:szCs w:val="28"/>
    </w:rPr>
  </w:style>
  <w:style w:type="paragraph" w:styleId="Heading2">
    <w:name w:val="heading 2"/>
    <w:aliases w:val="StdHeading2"/>
    <w:basedOn w:val="Normal"/>
    <w:next w:val="Normal"/>
    <w:link w:val="Heading2Char"/>
    <w:uiPriority w:val="9"/>
    <w:unhideWhenUsed w:val="1"/>
    <w:qFormat w:val="1"/>
    <w:rsid w:val="002527DE"/>
    <w:pPr>
      <w:keepNext w:val="1"/>
      <w:keepLines w:val="1"/>
      <w:outlineLvl w:val="1"/>
    </w:pPr>
    <w:rPr>
      <w:rFonts w:ascii="Arial" w:hAnsi="Arial" w:cstheme="majorBidi" w:eastAsiaTheme="majorEastAsia"/>
      <w:bCs w:val="1"/>
      <w:sz w:val="24"/>
      <w:szCs w:val="26"/>
    </w:rPr>
  </w:style>
  <w:style w:type="paragraph" w:styleId="Heading3">
    <w:name w:val="heading 3"/>
    <w:aliases w:val="StdHeading3"/>
    <w:basedOn w:val="Normal"/>
    <w:next w:val="Normal"/>
    <w:link w:val="Heading3Char"/>
    <w:uiPriority w:val="9"/>
    <w:unhideWhenUsed w:val="1"/>
    <w:qFormat w:val="1"/>
    <w:rsid w:val="002527DE"/>
    <w:pPr>
      <w:keepNext w:val="1"/>
      <w:keepLines w:val="1"/>
      <w:outlineLvl w:val="2"/>
    </w:pPr>
    <w:rPr>
      <w:rFonts w:ascii="Arial" w:hAnsi="Arial" w:cstheme="majorBidi" w:eastAsiaTheme="majorEastAsia"/>
      <w:bCs w:val="1"/>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StdHeading1 Char"/>
    <w:basedOn w:val="DefaultParagraphFont"/>
    <w:link w:val="Heading1"/>
    <w:uiPriority w:val="9"/>
    <w:rsid w:val="002527DE"/>
    <w:rPr>
      <w:rFonts w:ascii="Arial" w:hAnsi="Arial" w:cstheme="majorBidi" w:eastAsiaTheme="majorEastAsia"/>
      <w:bCs w:val="1"/>
      <w:sz w:val="28"/>
      <w:szCs w:val="28"/>
    </w:rPr>
  </w:style>
  <w:style w:type="character" w:styleId="Heading2Char" w:customStyle="1">
    <w:name w:val="Heading 2 Char"/>
    <w:aliases w:val="StdHeading2 Char"/>
    <w:basedOn w:val="DefaultParagraphFont"/>
    <w:link w:val="Heading2"/>
    <w:uiPriority w:val="9"/>
    <w:rsid w:val="002527DE"/>
    <w:rPr>
      <w:rFonts w:ascii="Arial" w:hAnsi="Arial" w:cstheme="majorBidi" w:eastAsiaTheme="majorEastAsia"/>
      <w:bCs w:val="1"/>
      <w:sz w:val="24"/>
      <w:szCs w:val="26"/>
    </w:rPr>
  </w:style>
  <w:style w:type="paragraph" w:styleId="NoSpacing">
    <w:name w:val="No Spacing"/>
    <w:uiPriority w:val="1"/>
    <w:rsid w:val="0029136F"/>
    <w:pPr>
      <w:spacing w:after="0" w:line="240" w:lineRule="auto"/>
    </w:pPr>
  </w:style>
  <w:style w:type="character" w:styleId="Heading3Char" w:customStyle="1">
    <w:name w:val="Heading 3 Char"/>
    <w:aliases w:val="StdHeading3 Char"/>
    <w:basedOn w:val="DefaultParagraphFont"/>
    <w:link w:val="Heading3"/>
    <w:uiPriority w:val="9"/>
    <w:rsid w:val="002527DE"/>
    <w:rPr>
      <w:rFonts w:ascii="Arial" w:hAnsi="Arial" w:cstheme="majorBidi" w:eastAsiaTheme="majorEastAsia"/>
      <w:bCs w:val="1"/>
      <w:sz w:val="20"/>
    </w:rPr>
  </w:style>
  <w:style w:type="paragraph" w:styleId="ListParagraph">
    <w:name w:val="List Paragraph"/>
    <w:basedOn w:val="Normal"/>
    <w:uiPriority w:val="34"/>
    <w:rsid w:val="003E7BDD"/>
    <w:pPr>
      <w:autoSpaceDE w:val="0"/>
      <w:autoSpaceDN w:val="0"/>
      <w:adjustRightInd w:val="0"/>
      <w:spacing w:after="240" w:line="280" w:lineRule="exact"/>
      <w:ind w:left="288"/>
      <w:contextualSpacing w:val="1"/>
    </w:pPr>
    <w:rPr>
      <w:rFonts w:ascii="Arial" w:eastAsia="Times New Roman" w:hAnsi="Arial"/>
      <w:bCs w:val="1"/>
      <w:color w:val="6f5634"/>
      <w:spacing w:val="0"/>
      <w:kern w:val="22"/>
    </w:rPr>
  </w:style>
  <w:style w:type="character" w:styleId="BookTitle">
    <w:name w:val="Book Title"/>
    <w:basedOn w:val="DefaultParagraphFont"/>
    <w:uiPriority w:val="33"/>
    <w:rsid w:val="0029136F"/>
    <w:rPr>
      <w:b w:val="1"/>
      <w:bCs w:val="1"/>
      <w:smallCaps w:val="1"/>
      <w:spacing w:val="5"/>
    </w:rPr>
  </w:style>
  <w:style w:type="paragraph" w:styleId="Header">
    <w:name w:val="header"/>
    <w:basedOn w:val="Normal"/>
    <w:link w:val="HeaderChar"/>
    <w:uiPriority w:val="99"/>
    <w:unhideWhenUsed w:val="1"/>
    <w:rsid w:val="009E108F"/>
    <w:pPr>
      <w:tabs>
        <w:tab w:val="center" w:pos="4680"/>
        <w:tab w:val="right" w:pos="9360"/>
      </w:tabs>
    </w:pPr>
  </w:style>
  <w:style w:type="character" w:styleId="HeaderChar" w:customStyle="1">
    <w:name w:val="Header Char"/>
    <w:basedOn w:val="DefaultParagraphFont"/>
    <w:link w:val="Header"/>
    <w:uiPriority w:val="99"/>
    <w:rsid w:val="009E108F"/>
  </w:style>
  <w:style w:type="paragraph" w:styleId="Footer">
    <w:name w:val="footer"/>
    <w:basedOn w:val="Normal"/>
    <w:link w:val="FooterChar"/>
    <w:uiPriority w:val="99"/>
    <w:unhideWhenUsed w:val="1"/>
    <w:rsid w:val="009E108F"/>
    <w:pPr>
      <w:tabs>
        <w:tab w:val="center" w:pos="4680"/>
        <w:tab w:val="right" w:pos="9360"/>
      </w:tabs>
    </w:pPr>
  </w:style>
  <w:style w:type="character" w:styleId="FooterChar" w:customStyle="1">
    <w:name w:val="Footer Char"/>
    <w:basedOn w:val="DefaultParagraphFont"/>
    <w:link w:val="Footer"/>
    <w:uiPriority w:val="99"/>
    <w:rsid w:val="009E108F"/>
  </w:style>
  <w:style w:type="paragraph" w:styleId="Bullet3" w:customStyle="1">
    <w:name w:val="Bullet 3"/>
    <w:rsid w:val="00302FF9"/>
    <w:pPr>
      <w:spacing w:after="0" w:line="240" w:lineRule="auto"/>
    </w:pPr>
    <w:rPr>
      <w:rFonts w:eastAsia="Times New Roman"/>
      <w:spacing w:val="0"/>
    </w:rPr>
  </w:style>
  <w:style w:type="paragraph" w:styleId="Bullet1" w:customStyle="1">
    <w:name w:val="Bullet 1"/>
    <w:basedOn w:val="ListParagraph"/>
    <w:rsid w:val="00302FF9"/>
    <w:pPr>
      <w:numPr>
        <w:numId w:val="22"/>
      </w:numPr>
      <w:spacing w:after="0"/>
    </w:pPr>
    <w:rPr>
      <w:rFonts w:ascii="Times New Roman" w:hAnsi="Times New Roman"/>
      <w:bCs w:val="0"/>
      <w:color w:val="auto"/>
    </w:rPr>
  </w:style>
  <w:style w:type="paragraph" w:styleId="Bullet2" w:customStyle="1">
    <w:name w:val="Bullet 2"/>
    <w:basedOn w:val="Normal"/>
    <w:autoRedefine w:val="1"/>
    <w:rsid w:val="0036424C"/>
    <w:pPr>
      <w:numPr>
        <w:ilvl w:val="1"/>
        <w:numId w:val="35"/>
      </w:numPr>
      <w:autoSpaceDE w:val="0"/>
      <w:autoSpaceDN w:val="0"/>
      <w:adjustRightInd w:val="0"/>
    </w:pPr>
    <w:rPr>
      <w:rFonts w:eastAsia="Times New Roman"/>
      <w:spacing w:val="0"/>
    </w:rPr>
  </w:style>
  <w:style w:type="numbering" w:styleId="EhlersListStyle" w:customStyle="1">
    <w:name w:val="EhlersListStyle"/>
    <w:uiPriority w:val="99"/>
    <w:rsid w:val="00E223A1"/>
    <w:pPr>
      <w:numPr>
        <w:numId w:val="28"/>
      </w:numPr>
    </w:pPr>
  </w:style>
  <w:style w:type="paragraph" w:styleId="BalloonText">
    <w:name w:val="Balloon Text"/>
    <w:basedOn w:val="Normal"/>
    <w:link w:val="BalloonTextChar"/>
    <w:uiPriority w:val="99"/>
    <w:semiHidden w:val="1"/>
    <w:unhideWhenUsed w:val="1"/>
    <w:rsid w:val="003A62F6"/>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A62F6"/>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VWia3sTjVjm4vFiHyxziGUKAPw==">AMUW2mXneTWfQeXzmENvrxyhEKQ/GQVYzxmdc5up5My4sk6FLYdmt8c916ife8RRkngoYoKOT+mObwrHesNVHizbocQzswiqe0FC+weoa2mNm/j6QDkACQE=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2012-08-22T15:38:00Z</dcterms:created>
  <dc:creator>Gail Robertson</dc:creator>
</cp:coreProperties>
</file>