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Adopted:</w:t>
      </w:r>
      <w:r w:rsidDel="00000000" w:rsidR="00000000" w:rsidRPr="00000000">
        <w:rPr>
          <w:rFonts w:ascii="Verdana" w:cs="Verdana" w:eastAsia="Verdana" w:hAnsi="Verdana"/>
          <w:i w:val="1"/>
          <w:sz w:val="18"/>
          <w:szCs w:val="18"/>
          <w:u w:val="single"/>
          <w:rtl w:val="0"/>
        </w:rPr>
        <w:t xml:space="preserve">    2010                          </w:t>
      </w:r>
      <w:r w:rsidDel="00000000" w:rsidR="00000000" w:rsidRPr="00000000">
        <w:rPr>
          <w:rFonts w:ascii="Verdana" w:cs="Verdana" w:eastAsia="Verdana" w:hAnsi="Verdana"/>
          <w:i w:val="1"/>
          <w:sz w:val="18"/>
          <w:szCs w:val="18"/>
          <w:rtl w:val="0"/>
        </w:rPr>
        <w:tab/>
        <w:t xml:space="preserve">MSBA/MASA Model Policy 609</w:t>
      </w:r>
    </w:p>
    <w:p w:rsidR="00000000" w:rsidDel="00000000" w:rsidP="00000000" w:rsidRDefault="00000000" w:rsidRPr="00000000" w14:paraId="00000002">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bookmarkStart w:colFirst="0" w:colLast="0" w:name="_heading=h.gjdgxs" w:id="0"/>
      <w:bookmarkEnd w:id="0"/>
      <w:r w:rsidDel="00000000" w:rsidR="00000000" w:rsidRPr="00000000">
        <w:rPr>
          <w:rFonts w:ascii="Verdana" w:cs="Verdana" w:eastAsia="Verdana" w:hAnsi="Verdana"/>
          <w:sz w:val="18"/>
          <w:szCs w:val="18"/>
          <w:rtl w:val="0"/>
        </w:rPr>
        <w:t xml:space="preserve">Orig. 1995</w:t>
      </w:r>
    </w:p>
    <w:p w:rsidR="00000000" w:rsidDel="00000000" w:rsidP="00000000" w:rsidRDefault="00000000" w:rsidRPr="00000000" w14:paraId="00000003">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Revised:</w:t>
      </w:r>
      <w:r w:rsidDel="00000000" w:rsidR="00000000" w:rsidRPr="00000000">
        <w:rPr>
          <w:rFonts w:ascii="Verdana" w:cs="Verdana" w:eastAsia="Verdana" w:hAnsi="Verdana"/>
          <w:i w:val="1"/>
          <w:sz w:val="18"/>
          <w:szCs w:val="18"/>
          <w:u w:val="single"/>
          <w:rtl w:val="0"/>
        </w:rPr>
        <w:t xml:space="preserve">  Jan 2022</w:t>
        <w:tab/>
      </w:r>
      <w:r w:rsidDel="00000000" w:rsidR="00000000" w:rsidRPr="00000000">
        <w:rPr>
          <w:rFonts w:ascii="Verdana" w:cs="Verdana" w:eastAsia="Verdana" w:hAnsi="Verdana"/>
          <w:i w:val="1"/>
          <w:sz w:val="18"/>
          <w:szCs w:val="18"/>
          <w:rtl w:val="0"/>
        </w:rPr>
        <w:tab/>
        <w:t xml:space="preserve">Rev. 2000</w:t>
      </w:r>
    </w:p>
    <w:p w:rsidR="00000000" w:rsidDel="00000000" w:rsidP="00000000" w:rsidRDefault="00000000" w:rsidRPr="00000000" w14:paraId="00000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609</w:t>
        <w:tab/>
        <w:t xml:space="preserve">RELIGION</w:t>
      </w:r>
      <w:r w:rsidDel="00000000" w:rsidR="00000000" w:rsidRPr="00000000">
        <w:rPr>
          <w:rtl w:val="0"/>
        </w:rPr>
      </w:r>
    </w:p>
    <w:p w:rsidR="00000000" w:rsidDel="00000000" w:rsidP="00000000" w:rsidRDefault="00000000" w:rsidRPr="00000000" w14:paraId="0000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w:t>
        <w:tab/>
        <w:t xml:space="preserve">PURPOSE</w:t>
      </w:r>
      <w:r w:rsidDel="00000000" w:rsidR="00000000" w:rsidRPr="00000000">
        <w:rPr>
          <w:rtl w:val="0"/>
        </w:rPr>
      </w:r>
    </w:p>
    <w:p w:rsidR="00000000" w:rsidDel="00000000" w:rsidP="00000000" w:rsidRDefault="00000000" w:rsidRPr="00000000" w14:paraId="00000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purpose of this policy is to identify the status of religion as it pertains to the programs of the school district.</w:t>
      </w:r>
    </w:p>
    <w:p w:rsidR="00000000" w:rsidDel="00000000" w:rsidP="00000000" w:rsidRDefault="00000000" w:rsidRPr="00000000" w14:paraId="00000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w:t>
        <w:tab/>
        <w:t xml:space="preserve">GENERAL STATEMENT OF POLICY</w:t>
      </w:r>
      <w:r w:rsidDel="00000000" w:rsidR="00000000" w:rsidRPr="00000000">
        <w:rPr>
          <w:rtl w:val="0"/>
        </w:rPr>
      </w:r>
    </w:p>
    <w:p w:rsidR="00000000" w:rsidDel="00000000" w:rsidP="00000000" w:rsidRDefault="00000000" w:rsidRPr="00000000" w14:paraId="00000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The school district shall neither promote nor disparage any religious belief or nonbelief.  Instead, the school district encourages all students and employees to have appreciation for and tolerance of each other’s views.</w:t>
      </w:r>
    </w:p>
    <w:p w:rsidR="00000000" w:rsidDel="00000000" w:rsidP="00000000" w:rsidRDefault="00000000" w:rsidRPr="00000000" w14:paraId="0000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The school district also recognizes that religion has had and is having a significant role in the social, cultural, political, and historical development of civilization.</w:t>
      </w:r>
    </w:p>
    <w:p w:rsidR="00000000" w:rsidDel="00000000" w:rsidP="00000000" w:rsidRDefault="00000000" w:rsidRPr="00000000" w14:paraId="000000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The school district recognizes that one of its educational objectives is to increase its students’ knowledge and appreciation of music, art, drama, and literature which may have had a religious basis or origin as well as a secular importance.</w:t>
      </w:r>
    </w:p>
    <w:p w:rsidR="00000000" w:rsidDel="00000000" w:rsidP="00000000" w:rsidRDefault="00000000" w:rsidRPr="00000000" w14:paraId="00000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t xml:space="preserve">The school district supports the inclusion of religious music, art, drama, and literature in the curriculum and in school activities provided it is intrinsic to the learning experience and is presented in an objective manner without sectarian indoctrination.</w:t>
      </w:r>
    </w:p>
    <w:p w:rsidR="00000000" w:rsidDel="00000000" w:rsidP="00000000" w:rsidRDefault="00000000" w:rsidRPr="00000000" w14:paraId="00000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w:t>
        <w:tab/>
        <w:t xml:space="preserve">The historical and contemporary values and the origin of various religions, holidays, customs, and beliefs may be explained in an unbiased and nonsectarian manner.</w:t>
      </w:r>
    </w:p>
    <w:p w:rsidR="00000000" w:rsidDel="00000000" w:rsidP="00000000" w:rsidRDefault="00000000" w:rsidRPr="00000000" w14:paraId="000000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III.</w:t>
        <w:tab/>
        <w:t xml:space="preserve">RESPONSIBILITY</w:t>
      </w:r>
      <w:r w:rsidDel="00000000" w:rsidR="00000000" w:rsidRPr="00000000">
        <w:rPr>
          <w:rtl w:val="0"/>
        </w:rPr>
      </w:r>
    </w:p>
    <w:p w:rsidR="00000000" w:rsidDel="00000000" w:rsidP="00000000" w:rsidRDefault="00000000" w:rsidRPr="00000000" w14:paraId="000000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The superintendent shall be responsible for ensuring that the study of religious materials, customs, beliefs, and holidays in the school district is in keeping with the following guidelines:</w:t>
      </w:r>
    </w:p>
    <w:p w:rsidR="00000000" w:rsidDel="00000000" w:rsidP="00000000" w:rsidRDefault="00000000" w:rsidRPr="00000000" w14:paraId="00000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The proposed activity must have a secular purpose.</w:t>
      </w:r>
    </w:p>
    <w:p w:rsidR="00000000" w:rsidDel="00000000" w:rsidP="00000000" w:rsidRDefault="00000000" w:rsidRPr="00000000" w14:paraId="00000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The primary objective of the activity must be one that neither advances nor inhibits religion.</w:t>
      </w:r>
    </w:p>
    <w:p w:rsidR="00000000" w:rsidDel="00000000" w:rsidP="00000000" w:rsidRDefault="00000000" w:rsidRPr="00000000" w14:paraId="00000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tab/>
        <w:t xml:space="preserve">The activity must not foster excessive governmental relationships with religion.</w:t>
      </w:r>
    </w:p>
    <w:p w:rsidR="00000000" w:rsidDel="00000000" w:rsidP="00000000" w:rsidRDefault="00000000" w:rsidRPr="00000000" w14:paraId="00000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w:t>
        <w:tab/>
        <w:t xml:space="preserve">Notwithstanding the foregoing guidelines, reasonable efforts will be made to accommodate any student who wishes to be excused from attendance at school for the purpose of religious instruction or observance of religious holidays.</w:t>
      </w:r>
    </w:p>
    <w:p w:rsidR="00000000" w:rsidDel="00000000" w:rsidP="00000000" w:rsidRDefault="00000000" w:rsidRPr="00000000" w14:paraId="000000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The superintendent is granted authority to develop and present for school board review and approval directives and guidelines for the purpose of providing further guidance relative to the teaching of materials related to religion.  Approved directives and guidelines shall be attached as an addendum to this policy.</w:t>
      </w:r>
    </w:p>
    <w:p w:rsidR="00000000" w:rsidDel="00000000" w:rsidP="00000000" w:rsidRDefault="00000000" w:rsidRPr="00000000" w14:paraId="00000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Legal References:</w:t>
      </w:r>
      <w:r w:rsidDel="00000000" w:rsidR="00000000" w:rsidRPr="00000000">
        <w:rPr>
          <w:rFonts w:ascii="Verdana" w:cs="Verdana" w:eastAsia="Verdana" w:hAnsi="Verdana"/>
          <w:sz w:val="18"/>
          <w:szCs w:val="18"/>
          <w:rtl w:val="0"/>
        </w:rPr>
        <w:tab/>
        <w:t xml:space="preserve">U. S. Const., amend. I</w:t>
      </w:r>
    </w:p>
    <w:p w:rsidR="00000000" w:rsidDel="00000000" w:rsidP="00000000" w:rsidRDefault="00000000" w:rsidRPr="00000000" w14:paraId="00000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120A.22, Subd. 12(3) (Compulsory Instruction)</w:t>
      </w:r>
    </w:p>
    <w:p w:rsidR="00000000" w:rsidDel="00000000" w:rsidP="00000000" w:rsidRDefault="00000000" w:rsidRPr="00000000" w14:paraId="000000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120A.35 (Absence From School for Religious Observance)</w:t>
      </w:r>
    </w:p>
    <w:p w:rsidR="00000000" w:rsidDel="00000000" w:rsidP="00000000" w:rsidRDefault="00000000" w:rsidRPr="00000000" w14:paraId="000000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121A.10 (Moment of Silence)</w:t>
      </w:r>
    </w:p>
    <w:p w:rsidR="00000000" w:rsidDel="00000000" w:rsidP="00000000" w:rsidRDefault="00000000" w:rsidRPr="00000000" w14:paraId="00000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i w:val="1"/>
          <w:sz w:val="18"/>
          <w:szCs w:val="18"/>
          <w:rtl w:val="0"/>
        </w:rPr>
        <w:t xml:space="preserve">Good News Club v. Milford Central School</w:t>
      </w:r>
      <w:r w:rsidDel="00000000" w:rsidR="00000000" w:rsidRPr="00000000">
        <w:rPr>
          <w:rFonts w:ascii="Verdana" w:cs="Verdana" w:eastAsia="Verdana" w:hAnsi="Verdana"/>
          <w:sz w:val="18"/>
          <w:szCs w:val="18"/>
          <w:rtl w:val="0"/>
        </w:rPr>
        <w:t xml:space="preserve">, 533 U.S. 98, 121 S.Ct. 2093, 150 L.Ed.2d 151 (2001)</w:t>
      </w:r>
    </w:p>
    <w:p w:rsidR="00000000" w:rsidDel="00000000" w:rsidP="00000000" w:rsidRDefault="00000000" w:rsidRPr="00000000" w14:paraId="0000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i w:val="1"/>
          <w:sz w:val="18"/>
          <w:szCs w:val="18"/>
          <w:rtl w:val="0"/>
        </w:rPr>
        <w:t xml:space="preserve">Santa Fe Indep. Sch. Dist. v. Doe</w:t>
      </w:r>
      <w:r w:rsidDel="00000000" w:rsidR="00000000" w:rsidRPr="00000000">
        <w:rPr>
          <w:rFonts w:ascii="Verdana" w:cs="Verdana" w:eastAsia="Verdana" w:hAnsi="Verdana"/>
          <w:sz w:val="18"/>
          <w:szCs w:val="18"/>
          <w:rtl w:val="0"/>
        </w:rPr>
        <w:t xml:space="preserve">, 530 U.S. 290, 120 S.Ct. 2266 (2000)</w:t>
      </w:r>
    </w:p>
    <w:p w:rsidR="00000000" w:rsidDel="00000000" w:rsidP="00000000" w:rsidRDefault="00000000" w:rsidRPr="00000000" w14:paraId="00000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i w:val="1"/>
          <w:sz w:val="18"/>
          <w:szCs w:val="18"/>
          <w:rtl w:val="0"/>
        </w:rPr>
        <w:t xml:space="preserve">Tangipahoa Parish Bd. of Educ. v. Freiler</w:t>
      </w:r>
      <w:r w:rsidDel="00000000" w:rsidR="00000000" w:rsidRPr="00000000">
        <w:rPr>
          <w:rFonts w:ascii="Verdana" w:cs="Verdana" w:eastAsia="Verdana" w:hAnsi="Verdana"/>
          <w:sz w:val="18"/>
          <w:szCs w:val="18"/>
          <w:rtl w:val="0"/>
        </w:rPr>
        <w:t xml:space="preserve">, 530 U.S. 1251, 120 S.Ct. 2706 (2000)</w:t>
      </w:r>
    </w:p>
    <w:p w:rsidR="00000000" w:rsidDel="00000000" w:rsidP="00000000" w:rsidRDefault="00000000" w:rsidRPr="00000000" w14:paraId="000000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i w:val="1"/>
          <w:sz w:val="18"/>
          <w:szCs w:val="18"/>
          <w:rtl w:val="0"/>
        </w:rPr>
        <w:t xml:space="preserve">Lemon v. Kurtzman</w:t>
      </w:r>
      <w:r w:rsidDel="00000000" w:rsidR="00000000" w:rsidRPr="00000000">
        <w:rPr>
          <w:rFonts w:ascii="Verdana" w:cs="Verdana" w:eastAsia="Verdana" w:hAnsi="Verdana"/>
          <w:sz w:val="18"/>
          <w:szCs w:val="18"/>
          <w:rtl w:val="0"/>
        </w:rPr>
        <w:t xml:space="preserve">, 403 U.S.602, 91 S.Ct. 2105, 29 L.Ed.2d 745 (1971)</w:t>
      </w:r>
    </w:p>
    <w:p w:rsidR="00000000" w:rsidDel="00000000" w:rsidP="00000000" w:rsidRDefault="00000000" w:rsidRPr="00000000" w14:paraId="00000030">
      <w:pPr>
        <w:ind w:left="2160" w:firstLine="0"/>
        <w:rPr>
          <w:rFonts w:ascii="Verdana" w:cs="Verdana" w:eastAsia="Verdana" w:hAnsi="Verdana"/>
          <w:sz w:val="18"/>
          <w:szCs w:val="18"/>
        </w:rPr>
      </w:pPr>
      <w:r w:rsidDel="00000000" w:rsidR="00000000" w:rsidRPr="00000000">
        <w:rPr>
          <w:rFonts w:ascii="Verdana" w:cs="Verdana" w:eastAsia="Verdana" w:hAnsi="Verdana"/>
          <w:i w:val="1"/>
          <w:sz w:val="18"/>
          <w:szCs w:val="18"/>
          <w:rtl w:val="0"/>
        </w:rPr>
        <w:t xml:space="preserve">Child Evangelism Fellowship v. Minneapolis Special Sch. Dist. No. 1</w:t>
      </w:r>
      <w:r w:rsidDel="00000000" w:rsidR="00000000" w:rsidRPr="00000000">
        <w:rPr>
          <w:rFonts w:ascii="Verdana" w:cs="Verdana" w:eastAsia="Verdana" w:hAnsi="Verdana"/>
          <w:sz w:val="18"/>
          <w:szCs w:val="18"/>
          <w:rtl w:val="0"/>
        </w:rPr>
        <w:t xml:space="preserve">, 690 F.3d 996 (8</w:t>
      </w:r>
      <w:r w:rsidDel="00000000" w:rsidR="00000000" w:rsidRPr="00000000">
        <w:rPr>
          <w:rFonts w:ascii="Verdana" w:cs="Verdana" w:eastAsia="Verdana" w:hAnsi="Verdana"/>
          <w:sz w:val="18"/>
          <w:szCs w:val="18"/>
          <w:vertAlign w:val="superscript"/>
          <w:rtl w:val="0"/>
        </w:rPr>
        <w:t xml:space="preserve">th</w:t>
      </w:r>
      <w:r w:rsidDel="00000000" w:rsidR="00000000" w:rsidRPr="00000000">
        <w:rPr>
          <w:rFonts w:ascii="Verdana" w:cs="Verdana" w:eastAsia="Verdana" w:hAnsi="Verdana"/>
          <w:sz w:val="18"/>
          <w:szCs w:val="18"/>
          <w:rtl w:val="0"/>
        </w:rPr>
        <w:t xml:space="preserve"> Cir. 2012)</w:t>
      </w:r>
    </w:p>
    <w:p w:rsidR="00000000" w:rsidDel="00000000" w:rsidP="00000000" w:rsidRDefault="00000000" w:rsidRPr="00000000" w14:paraId="00000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i w:val="1"/>
          <w:sz w:val="18"/>
          <w:szCs w:val="18"/>
          <w:rtl w:val="0"/>
        </w:rPr>
        <w:t xml:space="preserve">Wigg v. Sioux Falls Sch. Dist.</w:t>
      </w:r>
      <w:r w:rsidDel="00000000" w:rsidR="00000000" w:rsidRPr="00000000">
        <w:rPr>
          <w:rFonts w:ascii="Verdana" w:cs="Verdana" w:eastAsia="Verdana" w:hAnsi="Verdana"/>
          <w:sz w:val="18"/>
          <w:szCs w:val="18"/>
          <w:rtl w:val="0"/>
        </w:rPr>
        <w:t xml:space="preserve">, 382 F.3d 807 (8</w:t>
      </w:r>
      <w:r w:rsidDel="00000000" w:rsidR="00000000" w:rsidRPr="00000000">
        <w:rPr>
          <w:rFonts w:ascii="Verdana" w:cs="Verdana" w:eastAsia="Verdana" w:hAnsi="Verdana"/>
          <w:sz w:val="18"/>
          <w:szCs w:val="18"/>
          <w:vertAlign w:val="superscript"/>
          <w:rtl w:val="0"/>
        </w:rPr>
        <w:t xml:space="preserve">th</w:t>
      </w:r>
      <w:r w:rsidDel="00000000" w:rsidR="00000000" w:rsidRPr="00000000">
        <w:rPr>
          <w:rFonts w:ascii="Verdana" w:cs="Verdana" w:eastAsia="Verdana" w:hAnsi="Verdana"/>
          <w:sz w:val="18"/>
          <w:szCs w:val="18"/>
          <w:rtl w:val="0"/>
        </w:rPr>
        <w:t xml:space="preserve"> Cir. 2004)</w:t>
      </w:r>
    </w:p>
    <w:p w:rsidR="00000000" w:rsidDel="00000000" w:rsidP="00000000" w:rsidRDefault="00000000" w:rsidRPr="00000000" w14:paraId="00000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i w:val="1"/>
          <w:sz w:val="18"/>
          <w:szCs w:val="18"/>
          <w:rtl w:val="0"/>
        </w:rPr>
        <w:t xml:space="preserve">Doe v. School Dist. of City of Norfolk</w:t>
      </w:r>
      <w:r w:rsidDel="00000000" w:rsidR="00000000" w:rsidRPr="00000000">
        <w:rPr>
          <w:rFonts w:ascii="Verdana" w:cs="Verdana" w:eastAsia="Verdana" w:hAnsi="Verdana"/>
          <w:sz w:val="18"/>
          <w:szCs w:val="18"/>
          <w:rtl w:val="0"/>
        </w:rPr>
        <w:t xml:space="preserve">, 340 F.3d 605 (8</w:t>
      </w:r>
      <w:r w:rsidDel="00000000" w:rsidR="00000000" w:rsidRPr="00000000">
        <w:rPr>
          <w:rFonts w:ascii="Verdana" w:cs="Verdana" w:eastAsia="Verdana" w:hAnsi="Verdana"/>
          <w:sz w:val="18"/>
          <w:szCs w:val="18"/>
          <w:vertAlign w:val="superscript"/>
          <w:rtl w:val="0"/>
        </w:rPr>
        <w:t xml:space="preserve">th</w:t>
      </w:r>
      <w:r w:rsidDel="00000000" w:rsidR="00000000" w:rsidRPr="00000000">
        <w:rPr>
          <w:rFonts w:ascii="Verdana" w:cs="Verdana" w:eastAsia="Verdana" w:hAnsi="Verdana"/>
          <w:sz w:val="18"/>
          <w:szCs w:val="18"/>
          <w:rtl w:val="0"/>
        </w:rPr>
        <w:t xml:space="preserve"> Cir. 2003)</w:t>
      </w:r>
    </w:p>
    <w:p w:rsidR="00000000" w:rsidDel="00000000" w:rsidP="00000000" w:rsidRDefault="00000000" w:rsidRPr="00000000" w14:paraId="00000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i w:val="1"/>
          <w:sz w:val="18"/>
          <w:szCs w:val="18"/>
          <w:rtl w:val="0"/>
        </w:rPr>
        <w:t xml:space="preserve">Stark v. Independent Sch. Dist. No. 640</w:t>
      </w:r>
      <w:r w:rsidDel="00000000" w:rsidR="00000000" w:rsidRPr="00000000">
        <w:rPr>
          <w:rFonts w:ascii="Verdana" w:cs="Verdana" w:eastAsia="Verdana" w:hAnsi="Verdana"/>
          <w:sz w:val="18"/>
          <w:szCs w:val="18"/>
          <w:rtl w:val="0"/>
        </w:rPr>
        <w:t xml:space="preserve">, 123 F.3d 1068 (8</w:t>
      </w:r>
      <w:r w:rsidDel="00000000" w:rsidR="00000000" w:rsidRPr="00000000">
        <w:rPr>
          <w:rFonts w:ascii="Verdana" w:cs="Verdana" w:eastAsia="Verdana" w:hAnsi="Verdana"/>
          <w:sz w:val="18"/>
          <w:szCs w:val="18"/>
          <w:vertAlign w:val="superscript"/>
          <w:rtl w:val="0"/>
        </w:rPr>
        <w:t xml:space="preserve">th</w:t>
      </w:r>
      <w:r w:rsidDel="00000000" w:rsidR="00000000" w:rsidRPr="00000000">
        <w:rPr>
          <w:rFonts w:ascii="Verdana" w:cs="Verdana" w:eastAsia="Verdana" w:hAnsi="Verdana"/>
          <w:sz w:val="18"/>
          <w:szCs w:val="18"/>
          <w:rtl w:val="0"/>
        </w:rPr>
        <w:t xml:space="preserve"> Cir. 1997)</w:t>
      </w:r>
    </w:p>
    <w:p w:rsidR="00000000" w:rsidDel="00000000" w:rsidP="00000000" w:rsidRDefault="00000000" w:rsidRPr="00000000" w14:paraId="0000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i w:val="1"/>
          <w:sz w:val="18"/>
          <w:szCs w:val="18"/>
          <w:rtl w:val="0"/>
        </w:rPr>
        <w:t xml:space="preserve">Florey v. Sioux Falls Sch. Dist. 49-5</w:t>
      </w:r>
      <w:r w:rsidDel="00000000" w:rsidR="00000000" w:rsidRPr="00000000">
        <w:rPr>
          <w:rFonts w:ascii="Verdana" w:cs="Verdana" w:eastAsia="Verdana" w:hAnsi="Verdana"/>
          <w:sz w:val="18"/>
          <w:szCs w:val="18"/>
          <w:rtl w:val="0"/>
        </w:rPr>
        <w:t xml:space="preserve">, 619 F.2d 1311 (8</w:t>
      </w:r>
      <w:r w:rsidDel="00000000" w:rsidR="00000000" w:rsidRPr="00000000">
        <w:rPr>
          <w:rFonts w:ascii="Verdana" w:cs="Verdana" w:eastAsia="Verdana" w:hAnsi="Verdana"/>
          <w:sz w:val="18"/>
          <w:szCs w:val="18"/>
          <w:vertAlign w:val="superscript"/>
          <w:rtl w:val="0"/>
        </w:rPr>
        <w:t xml:space="preserve">th</w:t>
      </w:r>
      <w:r w:rsidDel="00000000" w:rsidR="00000000" w:rsidRPr="00000000">
        <w:rPr>
          <w:rFonts w:ascii="Verdana" w:cs="Verdana" w:eastAsia="Verdana" w:hAnsi="Verdana"/>
          <w:sz w:val="18"/>
          <w:szCs w:val="18"/>
          <w:rtl w:val="0"/>
        </w:rPr>
        <w:t xml:space="preserve"> Cir. 1980)</w:t>
      </w:r>
    </w:p>
    <w:p w:rsidR="00000000" w:rsidDel="00000000" w:rsidP="00000000" w:rsidRDefault="00000000" w:rsidRPr="00000000" w14:paraId="00000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i w:val="1"/>
          <w:sz w:val="18"/>
          <w:szCs w:val="18"/>
          <w:rtl w:val="0"/>
        </w:rPr>
        <w:t xml:space="preserve">Roark v. South Iron R-1 Sch. Dist.</w:t>
      </w:r>
      <w:r w:rsidDel="00000000" w:rsidR="00000000" w:rsidRPr="00000000">
        <w:rPr>
          <w:rFonts w:ascii="Verdana" w:cs="Verdana" w:eastAsia="Verdana" w:hAnsi="Verdana"/>
          <w:sz w:val="18"/>
          <w:szCs w:val="18"/>
          <w:rtl w:val="0"/>
        </w:rPr>
        <w:t xml:space="preserve">, 573 F.3d 556 (8</w:t>
      </w:r>
      <w:r w:rsidDel="00000000" w:rsidR="00000000" w:rsidRPr="00000000">
        <w:rPr>
          <w:rFonts w:ascii="Verdana" w:cs="Verdana" w:eastAsia="Verdana" w:hAnsi="Verdana"/>
          <w:sz w:val="18"/>
          <w:szCs w:val="18"/>
          <w:vertAlign w:val="superscript"/>
          <w:rtl w:val="0"/>
        </w:rPr>
        <w:t xml:space="preserve">th</w:t>
      </w:r>
      <w:r w:rsidDel="00000000" w:rsidR="00000000" w:rsidRPr="00000000">
        <w:rPr>
          <w:rFonts w:ascii="Verdana" w:cs="Verdana" w:eastAsia="Verdana" w:hAnsi="Verdana"/>
          <w:sz w:val="18"/>
          <w:szCs w:val="18"/>
          <w:rtl w:val="0"/>
        </w:rPr>
        <w:t xml:space="preserve"> Cir. 2009)</w:t>
      </w:r>
    </w:p>
    <w:p w:rsidR="00000000" w:rsidDel="00000000" w:rsidP="00000000" w:rsidRDefault="00000000" w:rsidRPr="00000000" w14:paraId="000000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i w:val="1"/>
          <w:sz w:val="18"/>
          <w:szCs w:val="18"/>
          <w:rtl w:val="0"/>
        </w:rPr>
        <w:t xml:space="preserve">Child Evangelism Fellowship v. Elk River Area Sch. Dist. No. 728</w:t>
      </w:r>
      <w:r w:rsidDel="00000000" w:rsidR="00000000" w:rsidRPr="00000000">
        <w:rPr>
          <w:rFonts w:ascii="Verdana" w:cs="Verdana" w:eastAsia="Verdana" w:hAnsi="Verdana"/>
          <w:sz w:val="18"/>
          <w:szCs w:val="18"/>
          <w:rtl w:val="0"/>
        </w:rPr>
        <w:t xml:space="preserve">, 599 F.Supp.2d 1136 (D. Minn. 2009)</w:t>
      </w:r>
    </w:p>
    <w:p w:rsidR="00000000" w:rsidDel="00000000" w:rsidP="00000000" w:rsidRDefault="00000000" w:rsidRPr="00000000" w14:paraId="000000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i w:val="1"/>
          <w:sz w:val="18"/>
          <w:szCs w:val="18"/>
          <w:rtl w:val="0"/>
        </w:rPr>
        <w:t xml:space="preserve">LeVake v. Independent Sch. Dist. No. 656</w:t>
      </w:r>
      <w:r w:rsidDel="00000000" w:rsidR="00000000" w:rsidRPr="00000000">
        <w:rPr>
          <w:rFonts w:ascii="Verdana" w:cs="Verdana" w:eastAsia="Verdana" w:hAnsi="Verdana"/>
          <w:sz w:val="18"/>
          <w:szCs w:val="18"/>
          <w:rtl w:val="0"/>
        </w:rPr>
        <w:t xml:space="preserve">, 625 N.W.2d 502 (Minn. App. 2001)</w:t>
      </w:r>
    </w:p>
    <w:p w:rsidR="00000000" w:rsidDel="00000000" w:rsidP="00000000" w:rsidRDefault="00000000" w:rsidRPr="00000000" w14:paraId="00000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Op. Atty. Gen. 169-J (Feb. 14, 1968)</w:t>
      </w:r>
    </w:p>
    <w:p w:rsidR="00000000" w:rsidDel="00000000" w:rsidP="00000000" w:rsidRDefault="00000000" w:rsidRPr="00000000" w14:paraId="00000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Op. Atty. Gen. 169-K (Oct. 21, 1949)</w:t>
      </w:r>
    </w:p>
    <w:p w:rsidR="00000000" w:rsidDel="00000000" w:rsidP="00000000" w:rsidRDefault="00000000" w:rsidRPr="00000000" w14:paraId="00000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Op. Atty. Gen. 63 (1940)</w:t>
      </w:r>
    </w:p>
    <w:p w:rsidR="00000000" w:rsidDel="00000000" w:rsidP="00000000" w:rsidRDefault="00000000" w:rsidRPr="00000000" w14:paraId="00000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Op. Atty. Gen. 120 (1924)</w:t>
      </w:r>
    </w:p>
    <w:p w:rsidR="00000000" w:rsidDel="00000000" w:rsidP="00000000" w:rsidRDefault="00000000" w:rsidRPr="00000000" w14:paraId="000000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Op. Atty. Gen. 121 (1924)</w:t>
      </w:r>
    </w:p>
    <w:p w:rsidR="00000000" w:rsidDel="00000000" w:rsidP="00000000" w:rsidRDefault="00000000" w:rsidRPr="00000000" w14:paraId="00000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216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Cross References:</w:t>
      </w:r>
      <w:r w:rsidDel="00000000" w:rsidR="00000000" w:rsidRPr="00000000">
        <w:rPr>
          <w:rFonts w:ascii="Verdana" w:cs="Verdana" w:eastAsia="Verdana" w:hAnsi="Verdana"/>
          <w:sz w:val="18"/>
          <w:szCs w:val="18"/>
          <w:rtl w:val="0"/>
        </w:rPr>
        <w:tab/>
        <w:t xml:space="preserve">MSBA/MASA Model</w:t>
      </w:r>
      <w:r w:rsidDel="00000000" w:rsidR="00000000" w:rsidRPr="00000000">
        <w:rPr>
          <w:rFonts w:ascii="Verdana" w:cs="Verdana" w:eastAsia="Verdana" w:hAnsi="Verdana"/>
          <w:i w:val="1"/>
          <w:sz w:val="18"/>
          <w:szCs w:val="18"/>
          <w:rtl w:val="0"/>
        </w:rPr>
        <w:t xml:space="preserve"> </w:t>
      </w:r>
      <w:r w:rsidDel="00000000" w:rsidR="00000000" w:rsidRPr="00000000">
        <w:rPr>
          <w:rFonts w:ascii="Verdana" w:cs="Verdana" w:eastAsia="Verdana" w:hAnsi="Verdana"/>
          <w:sz w:val="18"/>
          <w:szCs w:val="18"/>
          <w:rtl w:val="0"/>
        </w:rPr>
        <w:t xml:space="preserve">Policy 801 (Equal Access to School Facilities)</w:t>
      </w:r>
    </w:p>
    <w:sectPr>
      <w:footerReference r:id="rId7" w:type="default"/>
      <w:pgSz w:h="15840" w:w="12240" w:orient="portrait"/>
      <w:pgMar w:bottom="1008"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Fixedsy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609-</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Fixedsys" w:cs="Fixedsys" w:eastAsia="Fixedsys" w:hAnsi="Fixedsys"/>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adjustRightInd w:val="0"/>
      <w:spacing w:after="0" w:line="240" w:lineRule="auto"/>
    </w:pPr>
    <w:rPr>
      <w:rFonts w:ascii="Fixedsys" w:cs="Fixedsys" w:hAnsi="Fixedsys"/>
      <w:sz w:val="20"/>
      <w:szCs w:val="20"/>
    </w:rPr>
  </w:style>
  <w:style w:type="paragraph" w:styleId="Heading1">
    <w:name w:val="heading 1"/>
    <w:basedOn w:val="Normal"/>
    <w:next w:val="Normal"/>
    <w:link w:val="Heading1Char"/>
    <w:uiPriority w:val="99"/>
    <w:qFormat w:val="1"/>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9"/>
    <w:locked w:val="1"/>
    <w:rPr>
      <w:rFonts w:ascii="Cambria" w:cs="Times New Roman" w:hAnsi="Cambria"/>
      <w:b w:val="1"/>
      <w:bCs w:val="1"/>
      <w:kern w:val="32"/>
      <w:sz w:val="32"/>
      <w:szCs w:val="32"/>
    </w:rPr>
  </w:style>
  <w:style w:type="paragraph" w:styleId="BalloonText">
    <w:name w:val="Balloon Text"/>
    <w:basedOn w:val="Normal"/>
    <w:link w:val="BalloonTextChar"/>
    <w:uiPriority w:val="99"/>
    <w:semiHidden w:val="1"/>
    <w:pPr>
      <w:widowControl w:val="1"/>
      <w:autoSpaceDE w:val="1"/>
      <w:autoSpaceDN w:val="1"/>
      <w:adjustRightInd w:val="1"/>
    </w:pPr>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Pr>
      <w:rFonts w:ascii="Tahoma" w:cs="Tahoma" w:hAnsi="Tahoma"/>
      <w:sz w:val="16"/>
      <w:szCs w:val="16"/>
    </w:rPr>
  </w:style>
  <w:style w:type="paragraph" w:styleId="WPDefaults" w:customStyle="1">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Fixedsys" w:cs="Fixedsys" w:hAnsi="Fixedsys"/>
      <w:sz w:val="24"/>
      <w:szCs w:val="24"/>
    </w:rPr>
  </w:style>
  <w:style w:type="character" w:styleId="InitialStyle" w:customStyle="1">
    <w:name w:val="InitialStyle"/>
    <w:uiPriority w:val="99"/>
  </w:style>
  <w:style w:type="character" w:styleId="42" w:customStyle="1">
    <w:name w:val="42"/>
    <w:uiPriority w:val="99"/>
  </w:style>
  <w:style w:type="paragraph" w:styleId="Outline1" w:customStyle="1">
    <w:name w:val="Outline 1"/>
    <w:uiPriority w:val="99"/>
    <w:pPr>
      <w:widowControl w:val="0"/>
      <w:autoSpaceDE w:val="0"/>
      <w:autoSpaceDN w:val="0"/>
      <w:adjustRightInd w:val="0"/>
      <w:spacing w:after="0" w:line="240" w:lineRule="atLeast"/>
    </w:pPr>
    <w:rPr>
      <w:rFonts w:ascii="Fixedsys" w:cs="Fixedsys" w:hAnsi="Fixedsys"/>
      <w:b w:val="1"/>
      <w:bCs w:val="1"/>
      <w:sz w:val="24"/>
      <w:szCs w:val="24"/>
    </w:rPr>
  </w:style>
  <w:style w:type="paragraph" w:styleId="Outline2" w:customStyle="1">
    <w:name w:val="Outline 2"/>
    <w:uiPriority w:val="99"/>
    <w:pPr>
      <w:widowControl w:val="0"/>
      <w:autoSpaceDE w:val="0"/>
      <w:autoSpaceDN w:val="0"/>
      <w:adjustRightInd w:val="0"/>
      <w:spacing w:after="0" w:line="240" w:lineRule="atLeast"/>
    </w:pPr>
    <w:rPr>
      <w:rFonts w:ascii="Fixedsys" w:cs="Fixedsys" w:hAnsi="Fixedsys"/>
      <w:b w:val="1"/>
      <w:bCs w:val="1"/>
      <w:sz w:val="24"/>
      <w:szCs w:val="24"/>
    </w:rPr>
  </w:style>
  <w:style w:type="paragraph" w:styleId="Outline3" w:customStyle="1">
    <w:name w:val="Outline 3"/>
    <w:uiPriority w:val="99"/>
    <w:pPr>
      <w:widowControl w:val="0"/>
      <w:autoSpaceDE w:val="0"/>
      <w:autoSpaceDN w:val="0"/>
      <w:adjustRightInd w:val="0"/>
      <w:spacing w:after="0" w:line="240" w:lineRule="atLeast"/>
      <w:ind w:left="2880"/>
    </w:pPr>
    <w:rPr>
      <w:rFonts w:ascii="Fixedsys" w:cs="Fixedsys" w:hAnsi="Fixedsys"/>
      <w:sz w:val="24"/>
      <w:szCs w:val="24"/>
    </w:rPr>
  </w:style>
  <w:style w:type="paragraph" w:styleId="Outline4" w:customStyle="1">
    <w:name w:val="Outline 4"/>
    <w:uiPriority w:val="99"/>
    <w:pPr>
      <w:widowControl w:val="0"/>
      <w:autoSpaceDE w:val="0"/>
      <w:autoSpaceDN w:val="0"/>
      <w:adjustRightInd w:val="0"/>
      <w:spacing w:after="0" w:line="240" w:lineRule="atLeast"/>
      <w:ind w:left="3600"/>
    </w:pPr>
    <w:rPr>
      <w:rFonts w:ascii="Fixedsys" w:cs="Fixedsys" w:hAnsi="Fixedsys"/>
      <w:sz w:val="24"/>
      <w:szCs w:val="24"/>
    </w:rPr>
  </w:style>
  <w:style w:type="paragraph" w:styleId="Outline5" w:customStyle="1">
    <w:name w:val="Outline 5"/>
    <w:uiPriority w:val="99"/>
    <w:pPr>
      <w:widowControl w:val="0"/>
      <w:autoSpaceDE w:val="0"/>
      <w:autoSpaceDN w:val="0"/>
      <w:adjustRightInd w:val="0"/>
      <w:spacing w:after="0" w:line="240" w:lineRule="atLeast"/>
      <w:ind w:left="4320"/>
    </w:pPr>
    <w:rPr>
      <w:rFonts w:ascii="Fixedsys" w:cs="Fixedsys" w:hAnsi="Fixedsys"/>
      <w:sz w:val="24"/>
      <w:szCs w:val="24"/>
    </w:rPr>
  </w:style>
  <w:style w:type="paragraph" w:styleId="Outline6" w:customStyle="1">
    <w:name w:val="Outline 6"/>
    <w:uiPriority w:val="99"/>
    <w:pPr>
      <w:widowControl w:val="0"/>
      <w:autoSpaceDE w:val="0"/>
      <w:autoSpaceDN w:val="0"/>
      <w:adjustRightInd w:val="0"/>
      <w:spacing w:after="0" w:line="240" w:lineRule="atLeast"/>
      <w:ind w:left="4320"/>
    </w:pPr>
    <w:rPr>
      <w:rFonts w:ascii="Fixedsys" w:cs="Fixedsys" w:hAnsi="Fixedsys"/>
      <w:sz w:val="24"/>
      <w:szCs w:val="24"/>
    </w:rPr>
  </w:style>
  <w:style w:type="paragraph" w:styleId="Outline7" w:customStyle="1">
    <w:name w:val="Outline 7"/>
    <w:uiPriority w:val="99"/>
    <w:pPr>
      <w:widowControl w:val="0"/>
      <w:autoSpaceDE w:val="0"/>
      <w:autoSpaceDN w:val="0"/>
      <w:adjustRightInd w:val="0"/>
      <w:spacing w:after="0" w:line="240" w:lineRule="atLeast"/>
      <w:ind w:left="5040"/>
    </w:pPr>
    <w:rPr>
      <w:rFonts w:ascii="Fixedsys" w:cs="Fixedsys" w:hAnsi="Fixedsys"/>
      <w:sz w:val="24"/>
      <w:szCs w:val="24"/>
    </w:rPr>
  </w:style>
  <w:style w:type="paragraph" w:styleId="Outline8" w:customStyle="1">
    <w:name w:val="Outline 8"/>
    <w:uiPriority w:val="99"/>
    <w:pPr>
      <w:widowControl w:val="0"/>
      <w:autoSpaceDE w:val="0"/>
      <w:autoSpaceDN w:val="0"/>
      <w:adjustRightInd w:val="0"/>
      <w:spacing w:after="0" w:line="240" w:lineRule="atLeast"/>
      <w:ind w:left="5760"/>
    </w:pPr>
    <w:rPr>
      <w:rFonts w:ascii="Fixedsys" w:cs="Fixedsys" w:hAnsi="Fixedsys"/>
      <w:sz w:val="24"/>
      <w:szCs w:val="24"/>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semiHidden w:val="1"/>
    <w:locked w:val="1"/>
    <w:rPr>
      <w:rFonts w:ascii="Fixedsys" w:cs="Fixedsys" w:hAnsi="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semiHidden w:val="1"/>
    <w:locked w:val="1"/>
    <w:rPr>
      <w:rFonts w:ascii="Fixedsys" w:cs="Fixedsys" w:hAnsi="Fixedsys"/>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dGjJ5WeKuHnNBpWK0L/ffIubw==">AMUW2mWOpjUrNpuPxZrfior4tqR0KI/Nm9HrAOQtUZLk0kWpzL7w+vWIlWeHZAU233o3r+5mQplxmoMMAZsQ5Aqt7HUY+p5trNxYKZKwpj86amCgYiMUuVXC8BBa8m8nmwsL7bAU+ipX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2019-09-24T13:40:00Z</dcterms:created>
  <dc:creator>shonetschlager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0x010100C3F39A8CCB252A4C80367E971B39346E</vt:lpwstr>
  </property>
</Properties>
</file>