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 w:val="left" w:leader="none" w:pos="720"/>
          <w:tab w:val="left" w:leader="none" w:pos="1440"/>
          <w:tab w:val="left" w:leader="none" w:pos="2160"/>
          <w:tab w:val="right" w:leader="none" w:pos="9360"/>
        </w:tabs>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Adopted:</w:t>
      </w:r>
      <w:r w:rsidDel="00000000" w:rsidR="00000000" w:rsidRPr="00000000">
        <w:rPr>
          <w:rFonts w:ascii="Verdana" w:cs="Verdana" w:eastAsia="Verdana" w:hAnsi="Verdana"/>
          <w:i w:val="1"/>
          <w:sz w:val="18"/>
          <w:szCs w:val="18"/>
          <w:u w:val="single"/>
          <w:rtl w:val="0"/>
        </w:rPr>
        <w:t xml:space="preserve">  2009                            </w:t>
      </w:r>
      <w:r w:rsidDel="00000000" w:rsidR="00000000" w:rsidRPr="00000000">
        <w:rPr>
          <w:rFonts w:ascii="Verdana" w:cs="Verdana" w:eastAsia="Verdana" w:hAnsi="Verdana"/>
          <w:i w:val="1"/>
          <w:sz w:val="18"/>
          <w:szCs w:val="18"/>
          <w:rtl w:val="0"/>
        </w:rPr>
        <w:tab/>
        <w:t xml:space="preserve">MSBA/MASA Model Policy 214</w:t>
      </w:r>
    </w:p>
    <w:p w:rsidR="00000000" w:rsidDel="00000000" w:rsidP="00000000" w:rsidRDefault="00000000" w:rsidRPr="00000000" w14:paraId="0000000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rFonts w:ascii="Verdana" w:cs="Verdana" w:eastAsia="Verdana" w:hAnsi="Verdana"/>
          <w:sz w:val="18"/>
          <w:szCs w:val="18"/>
        </w:rPr>
      </w:pPr>
      <w:bookmarkStart w:colFirst="0" w:colLast="0" w:name="_heading=h.gjdgxs" w:id="0"/>
      <w:bookmarkEnd w:id="0"/>
      <w:r w:rsidDel="00000000" w:rsidR="00000000" w:rsidRPr="00000000">
        <w:rPr>
          <w:rFonts w:ascii="Verdana" w:cs="Verdana" w:eastAsia="Verdana" w:hAnsi="Verdana"/>
          <w:sz w:val="18"/>
          <w:szCs w:val="18"/>
          <w:rtl w:val="0"/>
        </w:rPr>
        <w:t xml:space="preserve">Orig. 2005</w:t>
      </w:r>
    </w:p>
    <w:p w:rsidR="00000000" w:rsidDel="00000000" w:rsidP="00000000" w:rsidRDefault="00000000" w:rsidRPr="00000000" w14:paraId="00000003">
      <w:pPr>
        <w:tabs>
          <w:tab w:val="left" w:leader="none" w:pos="0"/>
          <w:tab w:val="left" w:leader="none" w:pos="720"/>
          <w:tab w:val="left" w:leader="none" w:pos="1440"/>
          <w:tab w:val="left" w:leader="none" w:pos="2160"/>
          <w:tab w:val="right" w:leader="none" w:pos="9360"/>
        </w:tabs>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Revised:</w:t>
      </w:r>
      <w:r w:rsidDel="00000000" w:rsidR="00000000" w:rsidRPr="00000000">
        <w:rPr>
          <w:rFonts w:ascii="Verdana" w:cs="Verdana" w:eastAsia="Verdana" w:hAnsi="Verdana"/>
          <w:i w:val="1"/>
          <w:sz w:val="18"/>
          <w:szCs w:val="18"/>
          <w:u w:val="single"/>
          <w:rtl w:val="0"/>
        </w:rPr>
        <w:t xml:space="preserve">   Oct 2021                            </w:t>
      </w:r>
      <w:r w:rsidDel="00000000" w:rsidR="00000000" w:rsidRPr="00000000">
        <w:rPr>
          <w:rFonts w:ascii="Verdana" w:cs="Verdana" w:eastAsia="Verdana" w:hAnsi="Verdana"/>
          <w:i w:val="1"/>
          <w:sz w:val="18"/>
          <w:szCs w:val="18"/>
          <w:rtl w:val="0"/>
        </w:rPr>
        <w:tab/>
        <w:t xml:space="preserve">Rev. 2009</w:t>
      </w:r>
    </w:p>
    <w:p w:rsidR="00000000" w:rsidDel="00000000" w:rsidP="00000000" w:rsidRDefault="00000000" w:rsidRPr="00000000" w14:paraId="000000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214</w:t>
        <w:tab/>
        <w:t xml:space="preserve">OUT-OF-STATE TRAVEL BY SCHOOL BOARD MEMBERS</w:t>
      </w:r>
      <w:r w:rsidDel="00000000" w:rsidR="00000000" w:rsidRPr="00000000">
        <w:rPr>
          <w:rtl w:val="0"/>
        </w:rPr>
      </w:r>
    </w:p>
    <w:p w:rsidR="00000000" w:rsidDel="00000000" w:rsidP="00000000" w:rsidRDefault="00000000" w:rsidRPr="00000000" w14:paraId="00000007">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widowControl w:val="1"/>
        <w:tabs>
          <w:tab w:val="left" w:leader="none" w:pos="720"/>
        </w:tabs>
        <w:ind w:left="720" w:hanging="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w:t>
        <w:tab/>
        <w:t xml:space="preserve">PURPOSE</w:t>
      </w:r>
      <w:r w:rsidDel="00000000" w:rsidR="00000000" w:rsidRPr="00000000">
        <w:rPr>
          <w:rtl w:val="0"/>
        </w:rPr>
      </w:r>
    </w:p>
    <w:p w:rsidR="00000000" w:rsidDel="00000000" w:rsidP="00000000" w:rsidRDefault="00000000" w:rsidRPr="00000000" w14:paraId="0000000A">
      <w:pPr>
        <w:widowControl w:val="1"/>
        <w:ind w:left="72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widowControl w:val="1"/>
        <w:ind w:left="72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purpose of this policy is to control out-of-state travel by school board members as required by law.</w:t>
      </w:r>
    </w:p>
    <w:p w:rsidR="00000000" w:rsidDel="00000000" w:rsidP="00000000" w:rsidRDefault="00000000" w:rsidRPr="00000000" w14:paraId="0000000C">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widowControl w:val="1"/>
        <w:tabs>
          <w:tab w:val="left" w:leader="none" w:pos="720"/>
        </w:tabs>
        <w:ind w:left="720" w:hanging="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w:t>
        <w:tab/>
        <w:t xml:space="preserve">GENERAL STATEMENT OF POLICY</w:t>
      </w:r>
      <w:r w:rsidDel="00000000" w:rsidR="00000000" w:rsidRPr="00000000">
        <w:rPr>
          <w:rtl w:val="0"/>
        </w:rPr>
      </w:r>
    </w:p>
    <w:p w:rsidR="00000000" w:rsidDel="00000000" w:rsidP="00000000" w:rsidRDefault="00000000" w:rsidRPr="00000000" w14:paraId="0000000E">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widowControl w:val="1"/>
        <w:ind w:left="72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School board members have an obligation to become informed on the proper duties and functions of a school board member, to become familiar with issues that may affect the school district, to acquire a basic understanding of school finance and budgeting, and to acquire sufficient knowledge to comply with federal, state, and local laws, rules, regulations, and school district policies that relate to their functions as school board members.  Occasionally, it may be appropriate for school board members to travel out of state to fulfill their obligations.</w:t>
      </w:r>
    </w:p>
    <w:p w:rsidR="00000000" w:rsidDel="00000000" w:rsidP="00000000" w:rsidRDefault="00000000" w:rsidRPr="00000000" w14:paraId="00000010">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widowControl w:val="1"/>
        <w:tabs>
          <w:tab w:val="left" w:leader="none" w:pos="720"/>
        </w:tabs>
        <w:ind w:left="720" w:hanging="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III.</w:t>
        <w:tab/>
        <w:t xml:space="preserve">APPROPRIATE TRAVEL</w:t>
      </w:r>
      <w:r w:rsidDel="00000000" w:rsidR="00000000" w:rsidRPr="00000000">
        <w:rPr>
          <w:rtl w:val="0"/>
        </w:rPr>
      </w:r>
    </w:p>
    <w:p w:rsidR="00000000" w:rsidDel="00000000" w:rsidP="00000000" w:rsidRDefault="00000000" w:rsidRPr="00000000" w14:paraId="00000012">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3">
      <w:pPr>
        <w:widowControl w:val="1"/>
        <w:ind w:left="72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Travel outside the state is appropriate when the school board finds it proper for school board members to acquire knowledge and information necessary to allow them to carry out their responsibilities as school board members.  Travel to regional or national meetings of the National School Boards Association is presumed to fulfill this purpose.  Travel to other out-of-state meetings for which the member intends to seek reimbursement from the school district should be preapproved by the school board.</w:t>
      </w:r>
    </w:p>
    <w:p w:rsidR="00000000" w:rsidDel="00000000" w:rsidP="00000000" w:rsidRDefault="00000000" w:rsidRPr="00000000" w14:paraId="00000014">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widowControl w:val="1"/>
        <w:tabs>
          <w:tab w:val="left" w:leader="none" w:pos="720"/>
        </w:tabs>
        <w:ind w:left="720" w:hanging="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IV.</w:t>
        <w:tab/>
        <w:t xml:space="preserve">REIMBURSABLE EXPENSES</w:t>
      </w:r>
      <w:r w:rsidDel="00000000" w:rsidR="00000000" w:rsidRPr="00000000">
        <w:rPr>
          <w:rtl w:val="0"/>
        </w:rPr>
      </w:r>
    </w:p>
    <w:p w:rsidR="00000000" w:rsidDel="00000000" w:rsidP="00000000" w:rsidRDefault="00000000" w:rsidRPr="00000000" w14:paraId="00000016">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7">
      <w:pPr>
        <w:widowControl w:val="1"/>
        <w:ind w:left="72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Expenses to be reimbursed may include transportation, meals, lodging, registration fees, required materials, parking fees, tips, and other reasonable and necessary school district-related expenses.</w:t>
      </w:r>
    </w:p>
    <w:p w:rsidR="00000000" w:rsidDel="00000000" w:rsidP="00000000" w:rsidRDefault="00000000" w:rsidRPr="00000000" w14:paraId="00000018">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widowControl w:val="1"/>
        <w:tabs>
          <w:tab w:val="left" w:leader="none" w:pos="720"/>
        </w:tabs>
        <w:ind w:left="720" w:hanging="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w:t>
        <w:tab/>
        <w:t xml:space="preserve">REIMBURSEMENT</w:t>
      </w:r>
      <w:r w:rsidDel="00000000" w:rsidR="00000000" w:rsidRPr="00000000">
        <w:rPr>
          <w:rtl w:val="0"/>
        </w:rPr>
      </w:r>
    </w:p>
    <w:p w:rsidR="00000000" w:rsidDel="00000000" w:rsidP="00000000" w:rsidRDefault="00000000" w:rsidRPr="00000000" w14:paraId="0000001A">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B">
      <w:pPr>
        <w:widowControl w:val="1"/>
        <w:tabs>
          <w:tab w:val="left" w:leader="none" w:pos="720"/>
          <w:tab w:val="left" w:leader="none" w:pos="1440"/>
        </w:tabs>
        <w:ind w:left="1440" w:hanging="72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w:t>
        <w:tab/>
        <w:t xml:space="preserve">Requests for reimbursement must be itemized on the official school district form and are to be submitted to the designated administrator.  Receipts for lodging, commercial transportation, registration, and other reasonable and necessary expenses must be attached to the reimbursement form.</w:t>
      </w:r>
    </w:p>
    <w:p w:rsidR="00000000" w:rsidDel="00000000" w:rsidP="00000000" w:rsidRDefault="00000000" w:rsidRPr="00000000" w14:paraId="0000001C">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D">
      <w:pPr>
        <w:widowControl w:val="1"/>
        <w:tabs>
          <w:tab w:val="left" w:leader="none" w:pos="720"/>
          <w:tab w:val="left" w:leader="none" w:pos="1440"/>
        </w:tabs>
        <w:ind w:left="1440" w:hanging="72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w:t>
        <w:tab/>
        <w:t xml:space="preserve">Automobile travel shall be reimbursed at the mileage rate set by the school board.  Commercial transportation shall reflect economy fares and shall be reimbursed only for the actual cost of the trip.</w:t>
      </w:r>
    </w:p>
    <w:p w:rsidR="00000000" w:rsidDel="00000000" w:rsidP="00000000" w:rsidRDefault="00000000" w:rsidRPr="00000000" w14:paraId="0000001E">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widowControl w:val="1"/>
        <w:tabs>
          <w:tab w:val="left" w:leader="none" w:pos="720"/>
          <w:tab w:val="left" w:leader="none" w:pos="1440"/>
        </w:tabs>
        <w:ind w:left="1440" w:hanging="1440"/>
        <w:rPr>
          <w:rFonts w:ascii="Verdana" w:cs="Verdana" w:eastAsia="Verdana" w:hAnsi="Verdana"/>
          <w:sz w:val="18"/>
          <w:szCs w:val="18"/>
        </w:rPr>
      </w:pPr>
      <w:r w:rsidDel="00000000" w:rsidR="00000000" w:rsidRPr="00000000">
        <w:rPr>
          <w:rFonts w:ascii="Verdana" w:cs="Verdana" w:eastAsia="Verdana" w:hAnsi="Verdana"/>
          <w:sz w:val="18"/>
          <w:szCs w:val="18"/>
          <w:rtl w:val="0"/>
        </w:rPr>
        <w:tab/>
        <w:t xml:space="preserve">C.</w:t>
        <w:tab/>
        <w:t xml:space="preserve">Amounts to be reimbursed shall be within the school board’s approved budget allocations, including attendance at workshops and conventions.</w:t>
      </w:r>
    </w:p>
    <w:p w:rsidR="00000000" w:rsidDel="00000000" w:rsidP="00000000" w:rsidRDefault="00000000" w:rsidRPr="00000000" w14:paraId="00000020">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widowControl w:val="1"/>
        <w:tabs>
          <w:tab w:val="left" w:leader="none" w:pos="720"/>
        </w:tabs>
        <w:ind w:left="720" w:hanging="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w:t>
        <w:tab/>
        <w:t xml:space="preserve">ESTABLISHMENT OF DIRECTIVES AND GUIDELINES</w:t>
      </w:r>
      <w:r w:rsidDel="00000000" w:rsidR="00000000" w:rsidRPr="00000000">
        <w:rPr>
          <w:rtl w:val="0"/>
        </w:rPr>
      </w:r>
    </w:p>
    <w:p w:rsidR="00000000" w:rsidDel="00000000" w:rsidP="00000000" w:rsidRDefault="00000000" w:rsidRPr="00000000" w14:paraId="00000022">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widowControl w:val="1"/>
        <w:ind w:left="72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superintendent shall develop a schedule of reimbursement rates for school district business expenses, including those expenses requiring advance approval and specific rates of reimbursement.  The superintendent shall also develop directives and guidelines to address methods and times for submission of requests for reimbursement.</w:t>
      </w:r>
    </w:p>
    <w:p w:rsidR="00000000" w:rsidDel="00000000" w:rsidP="00000000" w:rsidRDefault="00000000" w:rsidRPr="00000000" w14:paraId="00000024">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widowControl w:val="1"/>
        <w:tabs>
          <w:tab w:val="left" w:leader="none" w:pos="720"/>
          <w:tab w:val="left" w:leader="none" w:pos="1440"/>
          <w:tab w:val="left" w:leader="none" w:pos="2160"/>
        </w:tabs>
        <w:ind w:left="2880" w:hanging="2880"/>
        <w:rPr>
          <w:rFonts w:ascii="Verdana" w:cs="Verdana" w:eastAsia="Verdana" w:hAnsi="Verdana"/>
          <w:sz w:val="18"/>
          <w:szCs w:val="18"/>
        </w:rPr>
      </w:pPr>
      <w:r w:rsidDel="00000000" w:rsidR="00000000" w:rsidRPr="00000000">
        <w:rPr>
          <w:rFonts w:ascii="Verdana" w:cs="Verdana" w:eastAsia="Verdana" w:hAnsi="Verdana"/>
          <w:b w:val="1"/>
          <w:i w:val="1"/>
          <w:sz w:val="18"/>
          <w:szCs w:val="18"/>
          <w:rtl w:val="0"/>
        </w:rPr>
        <w:t xml:space="preserve">Legal References:</w:t>
      </w:r>
      <w:r w:rsidDel="00000000" w:rsidR="00000000" w:rsidRPr="00000000">
        <w:rPr>
          <w:rFonts w:ascii="Verdana" w:cs="Verdana" w:eastAsia="Verdana" w:hAnsi="Verdana"/>
          <w:sz w:val="18"/>
          <w:szCs w:val="18"/>
          <w:rtl w:val="0"/>
        </w:rPr>
        <w:tab/>
        <w:t xml:space="preserve">Minn. Stat. § 123B.09, Subd. 2 (School Board Member Training)</w:t>
      </w:r>
    </w:p>
    <w:p w:rsidR="00000000" w:rsidDel="00000000" w:rsidP="00000000" w:rsidRDefault="00000000" w:rsidRPr="00000000" w14:paraId="00000026">
      <w:pPr>
        <w:widowControl w:val="1"/>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 xml:space="preserve">Minn. Stat. § 471.661 (Out-of-State Travel)</w:t>
      </w:r>
    </w:p>
    <w:p w:rsidR="00000000" w:rsidDel="00000000" w:rsidP="00000000" w:rsidRDefault="00000000" w:rsidRPr="00000000" w14:paraId="00000027">
      <w:pPr>
        <w:widowControl w:val="1"/>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 xml:space="preserve">Minn. Stat. § 471.665 (Mileage Allowances)</w:t>
      </w:r>
    </w:p>
    <w:p w:rsidR="00000000" w:rsidDel="00000000" w:rsidP="00000000" w:rsidRDefault="00000000" w:rsidRPr="00000000" w14:paraId="00000028">
      <w:pPr>
        <w:widowControl w:val="1"/>
        <w:ind w:left="1440" w:firstLine="72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Minn. Op. Atty. Gen. 1035 (Aug. 23, 1999) (Retreat Expenses)</w:t>
      </w:r>
    </w:p>
    <w:p w:rsidR="00000000" w:rsidDel="00000000" w:rsidP="00000000" w:rsidRDefault="00000000" w:rsidRPr="00000000" w14:paraId="00000029">
      <w:pPr>
        <w:widowControl w:val="1"/>
        <w:tabs>
          <w:tab w:val="left" w:leader="none" w:pos="720"/>
          <w:tab w:val="left" w:leader="none" w:pos="1440"/>
          <w:tab w:val="left" w:leader="none" w:pos="2160"/>
        </w:tabs>
        <w:ind w:left="2880" w:hanging="2160"/>
        <w:rPr>
          <w:rFonts w:ascii="Verdana" w:cs="Verdana" w:eastAsia="Verdana" w:hAnsi="Verdana"/>
          <w:sz w:val="18"/>
          <w:szCs w:val="18"/>
        </w:rPr>
      </w:pPr>
      <w:r w:rsidDel="00000000" w:rsidR="00000000" w:rsidRPr="00000000">
        <w:rPr>
          <w:rFonts w:ascii="Verdana" w:cs="Verdana" w:eastAsia="Verdana" w:hAnsi="Verdana"/>
          <w:sz w:val="18"/>
          <w:szCs w:val="18"/>
          <w:rtl w:val="0"/>
        </w:rPr>
        <w:tab/>
        <w:tab/>
        <w:t xml:space="preserve">Minn. Op. Atty. Gen. 161b-12 (Aug. 4, 1997) (Transportation Expenses)</w:t>
      </w:r>
    </w:p>
    <w:p w:rsidR="00000000" w:rsidDel="00000000" w:rsidP="00000000" w:rsidRDefault="00000000" w:rsidRPr="00000000" w14:paraId="0000002A">
      <w:pPr>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widowControl w:val="1"/>
        <w:ind w:left="2880" w:hanging="288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Cross References:      </w:t>
      </w:r>
      <w:r w:rsidDel="00000000" w:rsidR="00000000" w:rsidRPr="00000000">
        <w:rPr>
          <w:rFonts w:ascii="Verdana" w:cs="Verdana" w:eastAsia="Verdana" w:hAnsi="Verdana"/>
          <w:sz w:val="18"/>
          <w:szCs w:val="18"/>
          <w:rtl w:val="0"/>
        </w:rPr>
        <w:t xml:space="preserve">MSBA/MASA Model Policy 212 (School Board Member Development)</w:t>
      </w:r>
      <w:r w:rsidDel="00000000" w:rsidR="00000000" w:rsidRPr="00000000">
        <w:rPr>
          <w:rtl w:val="0"/>
        </w:rPr>
      </w:r>
    </w:p>
    <w:p w:rsidR="00000000" w:rsidDel="00000000" w:rsidP="00000000" w:rsidRDefault="00000000" w:rsidRPr="00000000" w14:paraId="0000002C">
      <w:pPr>
        <w:widowControl w:val="1"/>
        <w:tabs>
          <w:tab w:val="left" w:leader="none" w:pos="720"/>
          <w:tab w:val="left" w:leader="none" w:pos="1440"/>
          <w:tab w:val="left" w:leader="none" w:pos="2160"/>
        </w:tabs>
        <w:ind w:left="2880" w:hanging="2160"/>
        <w:rPr>
          <w:rFonts w:ascii="Verdana" w:cs="Verdana" w:eastAsia="Verdana" w:hAnsi="Verdana"/>
          <w:sz w:val="18"/>
          <w:szCs w:val="18"/>
        </w:rPr>
      </w:pPr>
      <w:r w:rsidDel="00000000" w:rsidR="00000000" w:rsidRPr="00000000">
        <w:rPr>
          <w:rFonts w:ascii="Verdana" w:cs="Verdana" w:eastAsia="Verdana" w:hAnsi="Verdana"/>
          <w:sz w:val="18"/>
          <w:szCs w:val="18"/>
          <w:rtl w:val="0"/>
        </w:rPr>
        <w:tab/>
        <w:tab/>
        <w:t xml:space="preserve">MSBA/MASA Model Policy 412 (Expense Reimbursement)</w:t>
      </w:r>
    </w:p>
    <w:p w:rsidR="00000000" w:rsidDel="00000000" w:rsidP="00000000" w:rsidRDefault="00000000" w:rsidRPr="00000000" w14:paraId="0000002D">
      <w:pPr>
        <w:widowControl w:val="1"/>
        <w:rPr>
          <w:rFonts w:ascii="Verdana" w:cs="Verdana" w:eastAsia="Verdana" w:hAnsi="Verdana"/>
          <w:sz w:val="18"/>
          <w:szCs w:val="18"/>
        </w:rPr>
      </w:pPr>
      <w:r w:rsidDel="00000000" w:rsidR="00000000" w:rsidRPr="00000000">
        <w:rPr>
          <w:rtl w:val="0"/>
        </w:rPr>
      </w:r>
    </w:p>
    <w:sectPr>
      <w:footerReference r:id="rId7" w:type="default"/>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Fixedsy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214-</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xedsys" w:cs="Fixedsys" w:eastAsia="Fixedsys" w:hAnsi="Fixedsys"/>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spacing w:after="0" w:line="240" w:lineRule="auto"/>
    </w:pPr>
    <w:rPr>
      <w:rFonts w:ascii="Fixedsys" w:cs="Fixedsys" w:hAnsi="Fixedsys"/>
      <w:sz w:val="20"/>
      <w:szCs w:val="20"/>
    </w:rPr>
  </w:style>
  <w:style w:type="paragraph" w:styleId="Heading1">
    <w:name w:val="heading 1"/>
    <w:basedOn w:val="Normal"/>
    <w:next w:val="Normal"/>
    <w:link w:val="Heading1Char"/>
    <w:uiPriority w:val="9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Pr>
      <w:rFonts w:ascii="Cambria" w:cs="Times New Roman" w:hAnsi="Cambria"/>
      <w:b w:val="1"/>
      <w:bCs w:val="1"/>
      <w:kern w:val="32"/>
      <w:sz w:val="32"/>
      <w:szCs w:val="32"/>
    </w:rPr>
  </w:style>
  <w:style w:type="paragraph" w:styleId="WPDefaults" w:customStyle="1">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cs="Fixedsys" w:hAnsi="Fixedsys"/>
      <w:sz w:val="24"/>
      <w:szCs w:val="24"/>
    </w:rPr>
  </w:style>
  <w:style w:type="character" w:styleId="InitialStyle" w:customStyle="1">
    <w:name w:val="InitialStyle"/>
    <w:uiPriority w:val="99"/>
  </w:style>
  <w:style w:type="character" w:styleId="42" w:customStyle="1">
    <w:name w:val="42"/>
    <w:uiPriority w:val="99"/>
  </w:style>
  <w:style w:type="paragraph" w:styleId="Outline1" w:customStyle="1">
    <w:name w:val="Outline 1"/>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2" w:customStyle="1">
    <w:name w:val="Outline 2"/>
    <w:uiPriority w:val="99"/>
    <w:pPr>
      <w:widowControl w:val="0"/>
      <w:autoSpaceDE w:val="0"/>
      <w:autoSpaceDN w:val="0"/>
      <w:adjustRightInd w:val="0"/>
      <w:spacing w:after="0" w:line="240" w:lineRule="atLeast"/>
      <w:ind w:left="1440"/>
    </w:pPr>
    <w:rPr>
      <w:rFonts w:ascii="Fixedsys" w:cs="Fixedsys" w:hAnsi="Fixedsys"/>
      <w:sz w:val="24"/>
      <w:szCs w:val="24"/>
    </w:rPr>
  </w:style>
  <w:style w:type="paragraph" w:styleId="Outline3" w:customStyle="1">
    <w:name w:val="Outline 3"/>
    <w:uiPriority w:val="99"/>
    <w:pPr>
      <w:widowControl w:val="0"/>
      <w:autoSpaceDE w:val="0"/>
      <w:autoSpaceDN w:val="0"/>
      <w:adjustRightInd w:val="0"/>
      <w:spacing w:after="0" w:line="240" w:lineRule="atLeast"/>
      <w:ind w:left="2160"/>
    </w:pPr>
    <w:rPr>
      <w:rFonts w:ascii="Fixedsys" w:cs="Fixedsys" w:hAnsi="Fixedsys"/>
      <w:sz w:val="24"/>
      <w:szCs w:val="24"/>
    </w:rPr>
  </w:style>
  <w:style w:type="paragraph" w:styleId="Outline4" w:customStyle="1">
    <w:name w:val="Outline 4"/>
    <w:uiPriority w:val="99"/>
    <w:pPr>
      <w:widowControl w:val="0"/>
      <w:autoSpaceDE w:val="0"/>
      <w:autoSpaceDN w:val="0"/>
      <w:adjustRightInd w:val="0"/>
      <w:spacing w:after="0" w:line="240" w:lineRule="atLeast"/>
      <w:ind w:left="2880"/>
    </w:pPr>
    <w:rPr>
      <w:rFonts w:ascii="Fixedsys" w:cs="Fixedsys" w:hAnsi="Fixedsys"/>
      <w:sz w:val="24"/>
      <w:szCs w:val="24"/>
    </w:rPr>
  </w:style>
  <w:style w:type="paragraph" w:styleId="Outline5" w:customStyle="1">
    <w:name w:val="Outline 5"/>
    <w:uiPriority w:val="99"/>
    <w:pPr>
      <w:widowControl w:val="0"/>
      <w:autoSpaceDE w:val="0"/>
      <w:autoSpaceDN w:val="0"/>
      <w:adjustRightInd w:val="0"/>
      <w:spacing w:after="0" w:line="240" w:lineRule="atLeast"/>
      <w:ind w:left="3600"/>
    </w:pPr>
    <w:rPr>
      <w:rFonts w:ascii="Fixedsys" w:cs="Fixedsys" w:hAnsi="Fixedsys"/>
      <w:sz w:val="24"/>
      <w:szCs w:val="24"/>
    </w:rPr>
  </w:style>
  <w:style w:type="paragraph" w:styleId="Outline6" w:customStyle="1">
    <w:name w:val="Outline 6"/>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7" w:customStyle="1">
    <w:name w:val="Outline 7"/>
    <w:uiPriority w:val="99"/>
    <w:pPr>
      <w:widowControl w:val="0"/>
      <w:autoSpaceDE w:val="0"/>
      <w:autoSpaceDN w:val="0"/>
      <w:adjustRightInd w:val="0"/>
      <w:spacing w:after="0" w:line="240" w:lineRule="atLeast"/>
      <w:ind w:left="5040"/>
    </w:pPr>
    <w:rPr>
      <w:rFonts w:ascii="Fixedsys" w:cs="Fixedsys" w:hAnsi="Fixedsys"/>
      <w:sz w:val="24"/>
      <w:szCs w:val="24"/>
    </w:rPr>
  </w:style>
  <w:style w:type="paragraph" w:styleId="Outline8" w:customStyle="1">
    <w:name w:val="Outline 8"/>
    <w:uiPriority w:val="99"/>
    <w:pPr>
      <w:widowControl w:val="0"/>
      <w:autoSpaceDE w:val="0"/>
      <w:autoSpaceDN w:val="0"/>
      <w:adjustRightInd w:val="0"/>
      <w:spacing w:after="0" w:line="240" w:lineRule="atLeast"/>
      <w:ind w:left="5760"/>
    </w:pPr>
    <w:rPr>
      <w:rFonts w:ascii="Fixedsys" w:cs="Fixedsys" w:hAnsi="Fixedsys"/>
      <w:sz w:val="24"/>
      <w:szCs w:val="24"/>
    </w:rPr>
  </w:style>
  <w:style w:type="paragraph" w:styleId="114" w:customStyle="1">
    <w:name w:val="114"/>
    <w:uiPriority w:val="99"/>
    <w:pPr>
      <w:widowControl w:val="0"/>
      <w:autoSpaceDE w:val="0"/>
      <w:autoSpaceDN w:val="0"/>
      <w:adjustRightInd w:val="0"/>
      <w:spacing w:after="0" w:line="240" w:lineRule="atLeast"/>
      <w:ind w:left="720"/>
    </w:pPr>
    <w:rPr>
      <w:rFonts w:ascii="Fixedsys" w:cs="Fixedsys" w:hAnsi="Fixedsys"/>
      <w:sz w:val="24"/>
      <w:szCs w:val="24"/>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style>
  <w:style w:type="character" w:styleId="BodyText2Char" w:customStyle="1">
    <w:name w:val="Body Text 2 Char"/>
    <w:basedOn w:val="DefaultParagraphFont"/>
    <w:link w:val="BodyText2"/>
    <w:uiPriority w:val="99"/>
    <w:semiHidden w:val="1"/>
    <w:locked w:val="1"/>
    <w:rPr>
      <w:rFonts w:ascii="Fixedsys" w:cs="Fixedsys" w:hAnsi="Fixedsys"/>
      <w:sz w:val="20"/>
      <w:szCs w:val="20"/>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semiHidden w:val="1"/>
    <w:locked w:val="1"/>
    <w:rPr>
      <w:rFonts w:ascii="Fixedsys" w:cs="Fixedsys" w:hAnsi="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val="1"/>
    <w:locked w:val="1"/>
    <w:rPr>
      <w:rFonts w:ascii="Fixedsys" w:cs="Fixedsys" w:hAnsi="Fixedsys"/>
      <w:sz w:val="20"/>
      <w:szCs w:val="20"/>
    </w:rPr>
  </w:style>
  <w:style w:type="paragraph" w:styleId="BalloonText">
    <w:name w:val="Balloon Text"/>
    <w:basedOn w:val="Normal"/>
    <w:link w:val="BalloonTextChar"/>
    <w:uiPriority w:val="99"/>
    <w:semiHidden w:val="1"/>
    <w:rsid w:val="009C17B7"/>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zP2hxxxWNMKEtGYazJ+X/SPFw==">CgMxLjAyCGguZ2pkZ3hzOAByITF6eTA3d0ZOUGdRaXdRb1VFUlBoNDVIT1pCWXpCWTFCYw==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2019-09-23T20:11:00Z</dcterms:created>
  <dc:creator>shonetschlager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