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4, 2004  </w:t>
      </w:r>
      <w:r>
        <w:rPr>
          <w:i/>
          <w:iCs/>
          <w:sz w:val="24"/>
          <w:szCs w:val="24"/>
        </w:rPr>
        <w:tab/>
      </w:r>
      <w:r>
        <w:rPr>
          <w:rFonts w:cs="Times New Roman" w:ascii="Times New Roman" w:hAnsi="Times New Roman"/>
          <w:i/>
          <w:iCs/>
          <w:sz w:val="24"/>
          <w:szCs w:val="24"/>
        </w:rPr>
        <w:t>MSBA/MASA Model Policy 102</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1999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102</w:t>
        <w:tab/>
        <w:t>EQUAL EDUCATIONAL OPPORTUNITY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ensure that equal educational opportunity is provided for all students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It is the school district’s policy to provide equal educational opportunity for all students.  The school district does not unlawfully discriminate on the basis of race, color, creed, religion, national origin, sex, marital status, parental status, status with regard to public assistance, disability, sexual orientation or age.  The school district also makes reasonable accommodations for disabled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prohibits the harassment of any individual for any of the categories listed above.  For information about the types of conduct that constitute violation of the school district’s policy on harassment and violence and the school district’s procedures for addressing such complaints, refer to the school district’s policy on 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This policy applies to all areas of education including academics, coursework, co-curricular and extracurricular activities, or other rights or privileges of enrollment.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It is the responsibility of every school district employee to comply with this policy conscientiously.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Any student, parent or guardian having any questions regarding this policy should discuss it with the appropriate school district official as provided by policy.  In the absence of a specific designee, an inquiry or a complaint should be referred to the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121A.03, Subd. 2 (Sexual, Religious, and Racial Harassment and Violence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Ch. 363A (Minnesota Human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20 U.S.C. § 1681 </w:t>
      </w:r>
      <w:r>
        <w:rPr>
          <w:rFonts w:cs="Times New Roman" w:ascii="Times New Roman" w:hAnsi="Times New Roman"/>
          <w:i/>
          <w:iCs/>
          <w:sz w:val="24"/>
          <w:szCs w:val="24"/>
        </w:rPr>
        <w:t>et seq.</w:t>
      </w:r>
      <w:r>
        <w:rPr>
          <w:rFonts w:cs="Times New Roman" w:ascii="Times New Roman" w:hAnsi="Times New Roman"/>
          <w:sz w:val="24"/>
          <w:szCs w:val="24"/>
        </w:rPr>
        <w:t xml:space="preserve"> (Title IX of the Education Amendments of 1972)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42 U.S.C. § 12101 </w:t>
      </w:r>
      <w:r>
        <w:rPr>
          <w:rFonts w:cs="Times New Roman" w:ascii="Times New Roman" w:hAnsi="Times New Roman"/>
          <w:i/>
          <w:iCs/>
          <w:sz w:val="24"/>
          <w:szCs w:val="24"/>
        </w:rPr>
        <w:t>et seq.</w:t>
      </w:r>
      <w:r>
        <w:rPr>
          <w:rFonts w:cs="Times New Roman" w:ascii="Times New Roman" w:hAnsi="Times New Roman"/>
          <w:sz w:val="24"/>
          <w:szCs w:val="24"/>
        </w:rPr>
        <w:t xml:space="preserve"> (Americans with Disabilities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402 (Disability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MSBA/MASA Model Policy 413 (Harassment and Violence)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MSBA/MASA Model Policy 521 (Student Disability Nondiscrimination)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522 (Student Sex Nondiscrimination)</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102-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1</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102-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1</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left="2880" w:hanging="0"/>
      <w:jc w:val="lef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left="3600" w:hanging="0"/>
      <w:jc w:val="lef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331</Words>
  <Characters>2216</Characters>
  <CharactersWithSpaces>1889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2013-04-19T12:02:00Z</dcterms:created>
  <dc:creator>shonetschlager</dc:creator>
  <dc:description/>
  <dc:language>en-US</dc:language>
  <cp:lastModifiedBy/>
  <cp:lastPrinted>2013-04-19T12:03:00Z</cp:lastPrinted>
  <dcterms:modified xsi:type="dcterms:W3CDTF">2013-04-19T12:04:00Z</dcterms:modified>
  <cp:revision>4</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