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703</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703</w:t>
        <w:tab/>
        <w:t>ACCOUNTING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adopt the Uniform Financial Accounting and Reporting Standards for Minnesota School Districts provided for in guidelines adopted by the Minnesota Department of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It is the policy of this school district to comply with the Uniform Financial Accounting and Reporting Standards for Minnesota School Districts.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MAINTENANCE OF BOOKS AND ACCOUNTS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district shall maintain its books and records and do its accounting in compliance with the Uniform Accounting and Reporting Standards for Minnesota School Districts (UFARS) provided for in the guidelines adopted by the Minnesota Department of  Education and in compliance with applicable state laws and rules relating to reporting of revenues and expenditures.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PERMANENT FUND TRANSFERS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Unless otherwise authorized pursuant to Minn. Stat. § 123B.80, as amended, or any other law, fund transfers shall be made in compliance with UFARS and permanent fund transfers shall only be made in compliance with Minn. Stat. §123B.79, as amended, or other applicable statute.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w:t>
        <w:tab/>
        <w:t>REPORTING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school board shall provide for an annual audit of the books and records of the school district to assure compliance of its records with UFARS.  Each year, the school district shall also provide for the publication of the financial information specified in Minn. Stat. §123B.10 in the manner specified therein.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123B.02 (School District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123B.09 (School Board Powers)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123B.10 (Publication of Financial Information)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123B.14, Subd. 7 (Duties of School Board Clerk)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123B.75 (Revenue)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123B.76 (Expenditures)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123B.77 (Accounting, Budgeting and Reporting Requirements)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123B.78 (Cash Flow, Revenues, Borrowing, Deficits)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123B.79 (Permanent Fund Transfers)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123B.80 (Exceptions for Permanent Fund Transfers)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703 (Annual Audit)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7, Education Funding</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702-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rFonts w:ascii="Times New Roman" w:hAnsi="Times New Roman"/>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Courier" w:hAnsi="Courier" w:eastAsia="Fixedsys" w:cs="Courier"/>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335</Words>
  <Characters>2241</Characters>
  <CharactersWithSpaces>1910</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2013-04-22T09:46:00Z</dcterms:created>
  <dc:creator>shonetschlager</dc:creator>
  <dc:description/>
  <dc:language>en-US</dc:language>
  <cp:lastModifiedBy/>
  <dcterms:modified xsi:type="dcterms:W3CDTF">2013-04-22T09:46:00Z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