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15, 2011 </w:t>
      </w:r>
      <w:r>
        <w:rPr>
          <w:i/>
          <w:iCs/>
          <w:sz w:val="24"/>
          <w:szCs w:val="24"/>
        </w:rPr>
        <w:tab/>
      </w:r>
      <w:r>
        <w:rPr>
          <w:rFonts w:cs="Times New Roman" w:ascii="Times New Roman" w:hAnsi="Times New Roman"/>
          <w:i/>
          <w:iCs/>
          <w:sz w:val="24"/>
          <w:szCs w:val="24"/>
        </w:rPr>
        <w:t>MSBA/MASA Model Policy 601</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601</w:t>
        <w:tab/>
        <w:t>SCHOOL DISTRICT CURRICULUM AND INSTRUCTION GOALS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establish broad curriculum parameters for the school district that encompass the Minnesota Graduation Standards and the federal No Child Left Behind Act and are aligned with creating the world’s best workforce.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policy of the school district is to establish the “world’s best workforce” in which all learning in the school district should be directed and for which all school district learners should be held accountable.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“Academic standard” means a summary description of student learning in a required content area or elective content area.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1440"/>
        <w:jc w:val="both"/>
        <w:rPr/>
      </w:pPr>
      <w:r>
        <w:rPr>
          <w:rFonts w:cs="Times New Roman" w:ascii="Times New Roman" w:hAnsi="Times New Roman"/>
          <w:sz w:val="24"/>
          <w:szCs w:val="24"/>
        </w:rPr>
        <w:tab/>
      </w:r>
      <w:r>
        <w:rPr>
          <w:rFonts w:cs="Times New Roman" w:ascii="Times New Roman" w:hAnsi="Times New Roman"/>
          <w:bCs/>
          <w:sz w:val="24"/>
          <w:szCs w:val="24"/>
        </w:rPr>
        <w:t>B.</w:t>
        <w:tab/>
        <w:t>“Benchmark” means specific knowledge or skill that a student must master to complete part of an academic standard by the end of the grade level or grade band.</w:t>
      </w:r>
    </w:p>
    <w:p>
      <w:pPr>
        <w:pStyle w:val="Normal"/>
        <w:widowControl/>
        <w:tabs>
          <w:tab w:val="left" w:pos="720" w:leader="none"/>
          <w:tab w:val="left" w:pos="1440" w:leader="none"/>
        </w:tabs>
        <w:bidi w:val="0"/>
        <w:ind w:left="1440" w:right="0" w:hanging="14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“Curriculum” means district or school adopted programs and written plans for providing students with learning experiences that lead to expected knowledge, skills, and career and college readiness.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“Instruction” means methods of providing learning experiences that enable students to meet state and district academic standards and graduation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bCs/>
          <w:sz w:val="24"/>
          <w:szCs w:val="24"/>
        </w:rPr>
        <w:t>E.</w:t>
        <w:tab/>
        <w:t>“Performance measures” are measures to determine school district and school site progress in striving to create the world’s best workforce and must include at least the following:</w:t>
      </w:r>
    </w:p>
    <w:p>
      <w:pPr>
        <w:pStyle w:val="Normal"/>
        <w:widowControl/>
        <w:bidi w:val="0"/>
        <w:ind w:left="0" w:right="0" w:hanging="0"/>
        <w:jc w:val="both"/>
        <w:rPr>
          <w:rFonts w:ascii="Times New Roman" w:hAnsi="Times New Roman" w:cs="Times New Roman"/>
          <w:bCs/>
          <w:color w:val="FF0000"/>
          <w:sz w:val="24"/>
          <w:szCs w:val="24"/>
          <w:u w:val="single"/>
        </w:rPr>
      </w:pPr>
      <w:r>
        <w:rPr>
          <w:rFonts w:cs="Times New Roman" w:ascii="Times New Roman" w:hAnsi="Times New Roman"/>
          <w:bCs/>
          <w:color w:val="FF0000"/>
          <w:sz w:val="24"/>
          <w:szCs w:val="24"/>
          <w:u w:val="single"/>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1.</w:t>
        <w:tab/>
        <w:t>student performance on the National Assessment of Educational Progress where applicable;</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2.</w:t>
        <w:tab/>
        <w:t>the size of the academic achievement gap and rigorous course taking, including college-level advanced placement, international baccalaureate, postsecondary enrollment options including concurrent enrollment, other statutorily recognized courses of study or industry certification courses or programs and enrichment experiences by student subgroup;</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3.</w:t>
        <w:tab/>
        <w:t>student performance on the Minnesota Comprehensive Assessments;</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4.</w:t>
        <w:tab/>
        <w:t>high school graduation rates; and</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5.</w:t>
        <w:tab/>
        <w:t>career and college readiness under Minn. Stat. § 120B.30, Subd. 1.</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bCs/>
          <w:sz w:val="24"/>
          <w:szCs w:val="24"/>
        </w:rPr>
        <w:t>F.</w:t>
        <w:tab/>
        <w:t>“World’s best workforce” means striving to:  meet school readiness goals; have all third-grade students achieve grade-level literacy;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left="1440" w:right="0" w:hanging="1350"/>
        <w:jc w:val="both"/>
        <w:rPr/>
      </w:pPr>
      <w:r>
        <w:rPr>
          <w:rFonts w:cs="Times New Roman" w:ascii="Times New Roman" w:hAnsi="Times New Roman"/>
          <w:sz w:val="24"/>
          <w:szCs w:val="24"/>
        </w:rPr>
        <w:tab/>
        <w:t>G.</w:t>
        <w:tab/>
        <w:t>“Experiential learning” means learning for students that includes career exploration through a specific class or course or through work-based experiences such as job shadowing, mentoring, entrepreneurship, service learning, volunteering, internships, other cooperative work experience, youth apprenticeship, or employment.</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left="720" w:right="0" w:hanging="720"/>
        <w:jc w:val="both"/>
        <w:rPr/>
      </w:pPr>
      <w:r>
        <w:rPr>
          <w:rFonts w:cs="Times New Roman" w:ascii="Times New Roman" w:hAnsi="Times New Roman"/>
          <w:b/>
          <w:bCs/>
          <w:sz w:val="24"/>
          <w:szCs w:val="24"/>
        </w:rPr>
        <w:t>IV.</w:t>
        <w:tab/>
        <w:t>LONG-TERM STRATEGIC PLAN</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bCs/>
          <w:sz w:val="24"/>
          <w:szCs w:val="24"/>
        </w:rPr>
        <w:t>A.</w:t>
        <w:tab/>
        <w:t>The school board, at a public meeting, shall adopt a comprehensive, long-term strategic plan to support and improve teaching and learning that is aligned with creating the world’s best workforce and includes the following:</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1.</w:t>
        <w:tab/>
        <w:t>clearly defined school district and school site goals and benchmarks for instruction and student achievement for all nine student categories identified under the federal 2001 No Child Left Behind Act and two student gender categories of male and female</w:t>
      </w:r>
      <w:r>
        <w:rPr>
          <w:rFonts w:cs="Times New Roman" w:ascii="Times New Roman" w:hAnsi="Times New Roman"/>
          <w:bCs/>
          <w:i/>
          <w:iCs/>
          <w:sz w:val="24"/>
          <w:szCs w:val="24"/>
        </w:rPr>
        <w:t>;</w:t>
      </w:r>
    </w:p>
    <w:p>
      <w:pPr>
        <w:pStyle w:val="Normal"/>
        <w:widowControl/>
        <w:tabs>
          <w:tab w:val="left" w:pos="720" w:leader="none"/>
          <w:tab w:val="left" w:pos="1440" w:leader="none"/>
          <w:tab w:val="left" w:pos="2160" w:leader="none"/>
        </w:tabs>
        <w:bidi w:val="0"/>
        <w:ind w:left="2160" w:right="0" w:hanging="2160"/>
        <w:jc w:val="both"/>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2.</w:t>
        <w:tab/>
        <w:t>a process for assessing and evaluating each student’s progress toward meeting state and local academic standards and identifying the strengths and weaknesses of instruction in pursuit of student and school success and curriculum affecting students’ progress and growth toward career and college readiness and leading to the world’s best workforce;</w:t>
      </w:r>
    </w:p>
    <w:p>
      <w:pPr>
        <w:pStyle w:val="Normal"/>
        <w:widowControl/>
        <w:tabs>
          <w:tab w:val="left" w:pos="720" w:leader="none"/>
          <w:tab w:val="left" w:pos="1440" w:leader="none"/>
          <w:tab w:val="left" w:pos="2160" w:leader="none"/>
        </w:tabs>
        <w:bidi w:val="0"/>
        <w:ind w:left="2160" w:right="0" w:hanging="216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3.</w:t>
        <w:tab/>
        <w:t>a system to periodically review and evaluate the effectiveness of all instruction and curriculum, taking into account strategies and best practices, student outcomes, principal evaluations under Minn. Stat. § 123B.147, Subd. 3, and teacher evaluations under Minn. Stat. § 122A.40, Subd. 8, or 122A.41, Subd. 5;</w:t>
      </w:r>
    </w:p>
    <w:p>
      <w:pPr>
        <w:pStyle w:val="Normal"/>
        <w:widowControl/>
        <w:tabs>
          <w:tab w:val="left" w:pos="720" w:leader="none"/>
          <w:tab w:val="left" w:pos="1440" w:leader="none"/>
          <w:tab w:val="left" w:pos="2160" w:leader="none"/>
        </w:tabs>
        <w:bidi w:val="0"/>
        <w:ind w:left="2160" w:right="0" w:hanging="216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4.</w:t>
        <w:tab/>
        <w:t>strategies for improving instruction, curriculum, and student achievement, including the English and, where practicable, the native language development and the academic achievement of English learners;</w:t>
      </w:r>
    </w:p>
    <w:p>
      <w:pPr>
        <w:pStyle w:val="Normal"/>
        <w:widowControl/>
        <w:tabs>
          <w:tab w:val="left" w:pos="720" w:leader="none"/>
          <w:tab w:val="left" w:pos="1440" w:leader="none"/>
          <w:tab w:val="left" w:pos="2160" w:leader="none"/>
        </w:tabs>
        <w:bidi w:val="0"/>
        <w:ind w:left="2160" w:right="0" w:hanging="216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720" w:leader="none"/>
          <w:tab w:val="left" w:pos="1440" w:leader="none"/>
          <w:tab w:val="left" w:pos="2160" w:leader="none"/>
        </w:tabs>
        <w:bidi w:val="0"/>
        <w:ind w:left="2160" w:right="0" w:hanging="2160"/>
        <w:jc w:val="both"/>
        <w:rPr/>
      </w:pPr>
      <w:r>
        <w:rPr>
          <w:rFonts w:cs="Times New Roman" w:ascii="Times New Roman" w:hAnsi="Times New Roman"/>
          <w:bCs/>
          <w:sz w:val="24"/>
          <w:szCs w:val="24"/>
        </w:rPr>
        <w:tab/>
        <w:tab/>
        <w:t>5.</w:t>
        <w:tab/>
        <w:t>education effectiveness practices that integrate high-quality instruction, rigorous curriculum, technology, and a collaborative professional culture that develops and supports teacher quality, performance, and effectiveness; and;</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bidi w:val="0"/>
        <w:ind w:left="1440" w:right="0" w:hanging="1440"/>
        <w:jc w:val="both"/>
        <w:rPr/>
      </w:pPr>
      <w:r>
        <w:rPr>
          <w:rFonts w:cs="Times New Roman" w:ascii="Times New Roman" w:hAnsi="Times New Roman"/>
          <w:bCs/>
          <w:sz w:val="24"/>
          <w:szCs w:val="24"/>
        </w:rPr>
        <w:tab/>
        <w:t>6.</w:t>
        <w:tab/>
        <w:t>an annual budget for continuing to implement the school district plan.</w:t>
      </w:r>
    </w:p>
    <w:p>
      <w:pPr>
        <w:pStyle w:val="Normal"/>
        <w:widowContro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bidi w:val="0"/>
        <w:ind w:left="720" w:right="0" w:hanging="1440"/>
        <w:jc w:val="both"/>
        <w:rPr/>
      </w:pPr>
      <w:r>
        <w:rPr>
          <w:rFonts w:cs="Times New Roman" w:ascii="Times New Roman" w:hAnsi="Times New Roman"/>
          <w:bCs/>
          <w:sz w:val="24"/>
          <w:szCs w:val="24"/>
        </w:rPr>
        <w:tab/>
        <w:t>B.</w:t>
        <w:tab/>
        <w:t>School district site and school site goals shall include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All students will be required to demonstrate essential skills to effectively participate in lifelong learning.*  These skills include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b/>
          <w:bCs/>
          <w:i/>
          <w:iCs/>
          <w:sz w:val="24"/>
          <w:szCs w:val="24"/>
        </w:rPr>
        <w:tab/>
      </w:r>
      <w:r>
        <w:rPr>
          <w:rFonts w:cs="Times New Roman" w:ascii="Times New Roman" w:hAnsi="Times New Roman"/>
          <w:sz w:val="24"/>
          <w:szCs w:val="24"/>
        </w:rPr>
        <w:t>a.</w:t>
        <w:tab/>
        <w:t>reading, writing, speaking, listening, and viewing in the English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b.</w:t>
        <w:tab/>
        <w:t>mathematical and scientific concepts;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locating, organizing, communicating, and evaluating information and developing methods of inquiry (i.e., problem solving);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d.</w:t>
        <w:tab/>
        <w:t>creative and critical thinking, decision making, and study skills;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e.</w:t>
        <w:tab/>
        <w:t>work readiness skills;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f.</w:t>
        <w:tab/>
        <w:t>global and cultural understanding.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Each student will have the opportunity and will be expected to develop and apply essential knowledge that enables that student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live as a responsible, productive citizen and consumer within local, state, national, and global political, social, and economic systems;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bring many perspectives, including historical, to contemporary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c.</w:t>
        <w:tab/>
        <w:t>develop an appreciation and respect for democratic institutions;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communicate and relate effectively in languages and with cultures other than the student’s own;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practice stewardship of the land, natural resources, and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use a variety of tools and technology to gather and use information, enhance learning, solve problems, and increase human productivity.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Students will have the opportunity to develop creativity and self-expression through visual and verbal images, music, literature, world languages, movement, and the performing 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School practices and instruction will be directed toward developing within each student a positive self-image and a sense of personal responsibility for: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a.</w:t>
        <w:tab/>
        <w:t>establishing and achieving personal and career goals;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b.</w:t>
        <w:tab/>
        <w:t>adapting to change;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c.</w:t>
        <w:tab/>
        <w:t>leading a healthy and fulfilling life, both physically and mentally;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d.</w:t>
        <w:tab/>
        <w:t>living a life that will contribute to the well-being of society;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e.</w:t>
        <w:tab/>
        <w:t>becoming a self-directed learner;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f.</w:t>
        <w:tab/>
        <w:t>exercising ethical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Students will be given the opportunity to acquire human relations skills necessary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appreciate, understand, and accept human diversity and interdependence;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b.</w:t>
        <w:tab/>
        <w:t>address human problems through team effort;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c.</w:t>
        <w:tab/>
        <w:t>resolve conflicts with and among others;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d.</w:t>
        <w:tab/>
        <w:t>function constructively within a family unit;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e.</w:t>
        <w:tab/>
        <w:t>promote a multicultural, gender-fair, disability-sensitive society.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r>
      <w:r>
        <w:rPr>
          <w:rFonts w:cs="Times New Roman" w:ascii="Times New Roman" w:hAnsi="Times New Roman"/>
          <w:bCs/>
          <w:sz w:val="24"/>
          <w:szCs w:val="24"/>
        </w:rPr>
        <w:t>Minn. Stat. § 120B.018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sz w:val="24"/>
          <w:szCs w:val="24"/>
        </w:rPr>
        <w:tab/>
        <w:tab/>
        <w:tab/>
        <w:t>Minn. Stat. § 120B.02 (Educational Expectations for Minnesota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firstLine="1440"/>
        <w:jc w:val="both"/>
        <w:rPr/>
      </w:pPr>
      <w:r>
        <w:rPr>
          <w:rFonts w:cs="Times New Roman" w:ascii="Times New Roman" w:hAnsi="Times New Roman"/>
          <w:sz w:val="24"/>
          <w:szCs w:val="24"/>
        </w:rPr>
        <w:t>Minn. Stat. § 120B.11 (School District Process)</w:t>
      </w:r>
    </w:p>
    <w:p>
      <w:pPr>
        <w:pStyle w:val="Normal"/>
        <w:widowControl/>
        <w:bidi w:val="0"/>
        <w:ind w:left="2160" w:right="0" w:hanging="0"/>
        <w:jc w:val="both"/>
        <w:rPr/>
      </w:pPr>
      <w:r>
        <w:rPr>
          <w:rFonts w:cs="Times New Roman" w:ascii="Times New Roman" w:hAnsi="Times New Roman"/>
          <w:bCs/>
          <w:sz w:val="24"/>
          <w:szCs w:val="24"/>
        </w:rPr>
        <w:t>Minn. Stat. § 120B.30, Subd. 1 (Statewide Testing and Reporting System)</w:t>
      </w:r>
    </w:p>
    <w:p>
      <w:pPr>
        <w:pStyle w:val="Normal"/>
        <w:widowControl/>
        <w:bidi w:val="0"/>
        <w:ind w:left="2160" w:right="0" w:hanging="0"/>
        <w:jc w:val="both"/>
        <w:rPr/>
      </w:pPr>
      <w:r>
        <w:rPr>
          <w:rFonts w:cs="Times New Roman" w:ascii="Times New Roman" w:hAnsi="Times New Roman"/>
          <w:bCs/>
          <w:sz w:val="24"/>
          <w:szCs w:val="24"/>
        </w:rPr>
        <w:t>Minn. Stat. § 120B.35, Subd. 3 (Student Academic Achievement and Growth)</w:t>
      </w:r>
    </w:p>
    <w:p>
      <w:pPr>
        <w:pStyle w:val="Normal"/>
        <w:widowControl/>
        <w:bidi w:val="0"/>
        <w:ind w:left="2160" w:right="0" w:hanging="0"/>
        <w:jc w:val="both"/>
        <w:rPr/>
      </w:pPr>
      <w:r>
        <w:rPr>
          <w:rFonts w:cs="Times New Roman" w:ascii="Times New Roman" w:hAnsi="Times New Roman"/>
          <w:bCs/>
          <w:sz w:val="24"/>
          <w:szCs w:val="24"/>
        </w:rPr>
        <w:t>Minn. Stat. § 122A.40, Subd. 8 (Employment; Contracts; Termination)</w:t>
      </w:r>
    </w:p>
    <w:p>
      <w:pPr>
        <w:pStyle w:val="Normal"/>
        <w:widowControl/>
        <w:bidi w:val="0"/>
        <w:ind w:left="2160" w:right="0" w:hanging="2160"/>
        <w:jc w:val="both"/>
        <w:rPr/>
      </w:pPr>
      <w:r>
        <w:rPr>
          <w:rFonts w:cs="Times New Roman" w:ascii="Times New Roman" w:hAnsi="Times New Roman"/>
          <w:bCs/>
          <w:sz w:val="24"/>
          <w:szCs w:val="24"/>
        </w:rPr>
        <w:tab/>
        <w:t>Minn. Stat. § 122A.41, Subd. 5 (Teacher Tenure Act; Cities of the First Class; Definitions)</w:t>
      </w:r>
    </w:p>
    <w:p>
      <w:pPr>
        <w:pStyle w:val="Normal"/>
        <w:widowControl/>
        <w:bidi w:val="0"/>
        <w:ind w:left="2160" w:right="0" w:hanging="0"/>
        <w:jc w:val="both"/>
        <w:rPr/>
      </w:pPr>
      <w:r>
        <w:rPr>
          <w:rFonts w:cs="Times New Roman" w:ascii="Times New Roman" w:hAnsi="Times New Roman"/>
          <w:bCs/>
          <w:sz w:val="24"/>
          <w:szCs w:val="24"/>
        </w:rPr>
        <w:t>Minn. Stat. § 123B.147, Subd. 3 (Principals)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firstLine="1440"/>
        <w:jc w:val="both"/>
        <w:rPr/>
      </w:pPr>
      <w:r>
        <w:rPr>
          <w:rFonts w:cs="Times New Roman" w:ascii="Times New Roman" w:hAnsi="Times New Roman"/>
          <w:sz w:val="24"/>
          <w:szCs w:val="24"/>
        </w:rPr>
        <w:t xml:space="preserve">20 U.S.C. § 5801, </w:t>
      </w:r>
      <w:r>
        <w:rPr>
          <w:rFonts w:cs="Times New Roman" w:ascii="Times New Roman" w:hAnsi="Times New Roman"/>
          <w:i/>
          <w:iCs/>
          <w:sz w:val="24"/>
          <w:szCs w:val="24"/>
        </w:rPr>
        <w:t>et seq.</w:t>
      </w:r>
      <w:r>
        <w:rPr>
          <w:rFonts w:cs="Times New Roman" w:ascii="Times New Roman" w:hAnsi="Times New Roman"/>
          <w:sz w:val="24"/>
          <w:szCs w:val="24"/>
        </w:rPr>
        <w:t xml:space="preserve"> (National Education Goals 2000)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firstLine="1440"/>
        <w:jc w:val="both"/>
        <w:rPr/>
      </w:pPr>
      <w:r>
        <w:rPr>
          <w:rFonts w:cs="Times New Roman" w:ascii="Times New Roman" w:hAnsi="Times New Roman"/>
          <w:sz w:val="24"/>
          <w:szCs w:val="24"/>
        </w:rPr>
        <w:t xml:space="preserve">20 U.S.C. § 6301, </w:t>
      </w:r>
      <w:r>
        <w:rPr>
          <w:rFonts w:cs="Times New Roman" w:ascii="Times New Roman" w:hAnsi="Times New Roman"/>
          <w:i/>
          <w:iCs/>
          <w:sz w:val="24"/>
          <w:szCs w:val="24"/>
        </w:rPr>
        <w:t>et seq.</w:t>
      </w:r>
      <w:r>
        <w:rPr>
          <w:rFonts w:cs="Times New Roman" w:ascii="Times New Roman" w:hAnsi="Times New Roman"/>
          <w:sz w:val="24"/>
          <w:szCs w:val="24"/>
        </w:rPr>
        <w:t xml:space="preserve"> (No Child Left Behind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104 (School District Mission Statement)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613 (Graduation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614 (School District Testing Plan and Procedure)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615 (Testing Accommodations, Modifications, and Exemptions for IEPs, Section 504 Plans, and LEP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616 (School District System Accountability)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618 (Assessment of Student Achievement)</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odyText2Char">
    <w:name w:val="Body Text 2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1440" w:hanging="720"/>
      <w:jc w:val="both"/>
    </w:pPr>
    <w:rPr>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1209</Words>
  <Characters>8085</Characters>
  <CharactersWithSpaces>6892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2015-11-16T11:09:00Z</dcterms:created>
  <dc:creator>shonetschlager</dc:creator>
  <dc:description/>
  <dc:language>en-US</dc:language>
  <cp:lastModifiedBy/>
  <cp:lastPrinted>2014-11-21T14:30:00Z</cp:lastPrinted>
  <dcterms:modified xsi:type="dcterms:W3CDTF">2015-11-16T11:09:00Z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