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15, 2011  </w:t>
      </w:r>
      <w:r>
        <w:rPr>
          <w:i/>
          <w:iCs/>
          <w:sz w:val="24"/>
          <w:szCs w:val="24"/>
        </w:rPr>
        <w:tab/>
      </w:r>
      <w:r>
        <w:rPr>
          <w:rFonts w:cs="Times New Roman" w:ascii="Times New Roman" w:hAnsi="Times New Roman"/>
          <w:i/>
          <w:iCs/>
          <w:sz w:val="24"/>
          <w:szCs w:val="24"/>
        </w:rPr>
        <w:t>MSBA/MASA Model Policy 616</w:t>
      </w:r>
    </w:p>
    <w:p>
      <w:pPr>
        <w:pStyle w:val="Heading1"/>
        <w:bidi w:val="0"/>
        <w:spacing w:lineRule="atLeast" w:line="240"/>
        <w:ind w:left="0" w:right="0" w:hanging="0"/>
        <w:rPr/>
      </w:pPr>
      <w:r>
        <w:rPr>
          <w:rFonts w:cs="Times New Roman" w:ascii="Times New Roman" w:hAnsi="Times New Roman"/>
          <w:sz w:val="24"/>
          <w:szCs w:val="24"/>
        </w:rPr>
        <w:t>Orig. 1997</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616</w:t>
        <w:tab/>
        <w:t>SCHOOL DISTRICT SYSTEM ACCOUNTABILITY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focus public education strategies on a process which promotes higher academic achievement for all students and ensures broad-based community participation in decisions regarding the implementation of the Minnesota Academic Standards and the No Child Left Behind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Implementation of the Minnesota Academic Standards and No Child Left Behind Act will require a new level of accountability for the school district.  The school district will establish a system to transition to the graduation requirements of the Minnesota Academic Standards.  The school district also will establish a system to review and improve instruction, curriculum, and assessment which will include substantial input by students, parents or guardians, and local community members.  The school district will be accountable to the public and the state through annual reporting.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“Credit” means a student’s successful completion of an academic year of study or a student’s mastery of the applicable subject matter, as determined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“Graduation Standards” means the credit requirements and Profile of Learning content standards or Minnesota Academic Standards that school districts must offer and certify that students complete to be eligible for a high school diploma.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“Profile of Learning” means content standards formerly required for a high school diploma.</w:t>
      </w:r>
    </w:p>
    <w:p>
      <w:pPr>
        <w:pStyle w:val="Normal"/>
        <w:widowControl/>
        <w:bidi w:val="0"/>
        <w:ind w:left="0" w:right="0" w:hanging="0"/>
        <w:jc w:val="both"/>
        <w:rPr>
          <w:rFonts w:ascii="Times New Roman" w:hAnsi="Times New Roman" w:cs="Times New Roman"/>
          <w:bCs/>
          <w:color w:val="FF0000"/>
          <w:sz w:val="24"/>
          <w:szCs w:val="24"/>
        </w:rPr>
      </w:pPr>
      <w:r>
        <w:rPr>
          <w:rFonts w:cs="Times New Roman" w:ascii="Times New Roman" w:hAnsi="Times New Roman"/>
          <w:bCs/>
          <w:color w:val="FF0000"/>
          <w:sz w:val="24"/>
          <w:szCs w:val="24"/>
        </w:rPr>
      </w:r>
    </w:p>
    <w:p>
      <w:pPr>
        <w:pStyle w:val="Normal"/>
        <w:widowControl/>
        <w:tabs>
          <w:tab w:val="left" w:pos="720" w:leader="none"/>
          <w:tab w:val="left" w:pos="1440" w:leader="none"/>
        </w:tabs>
        <w:bidi w:val="0"/>
        <w:ind w:left="1440" w:right="0" w:hanging="720"/>
        <w:jc w:val="both"/>
        <w:rPr/>
      </w:pPr>
      <w:r>
        <w:rPr>
          <w:rFonts w:cs="Times New Roman" w:ascii="Times New Roman" w:hAnsi="Times New Roman"/>
          <w:bCs/>
          <w:sz w:val="24"/>
          <w:szCs w:val="24"/>
        </w:rPr>
        <w:t>D.</w:t>
        <w:tab/>
        <w:t>“World’s best workforce” means striving to:  meet school readiness goals; have all third grade students achieve grade-level literacy;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ESTABLISHMENT OF GOALS; IMPLEMENTATION; EVALUATION AND REPORTING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School District Goals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school board has established school district-wide goals which provide broad direction for the school district.  Incorporated in these goals are the graduation and education standards contained in the Minnesota Academic Standards and the No Child Left Behind Act.  The broad goals shall be reviewed annually and approved by the school board.  The school board shall adopt annual goals based on the recommendations of the Advisory Committee for Comprehensive Continuous Improvement of Student Achievement (Advisory Committee).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The improvement goals should address recommendations identified through the Advisory Committee process.  The school district’s goal setting process will include consideration of individual site goals.  School district goals may be developed through an education effectiveness program, an evaluation of student progress committee, or through some other locally determined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System for Reviewing All Instruction and Curriculum</w:t>
      </w:r>
      <w:r>
        <w:rPr>
          <w:rFonts w:cs="Times New Roman" w:ascii="Times New Roman" w:hAnsi="Times New Roman"/>
          <w:sz w:val="24"/>
          <w:szCs w:val="24"/>
        </w:rPr>
        <w:t xml:space="preserve">.  Incorporated in the process will be analysis of the school district’s progress toward implementation of the Minnesota Academic Standards.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Instruction and curriculum shall be reviewed and evaluated by taking into account strategies and best practices, student outcomes, principal evaluations under Minn. Stat. § 123B.147, Subd. 3, and teacher evaluations under Minn. Stat. § 122A.40, Subd. 8, or 122A.41, Subd. 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b/>
          <w:bCs/>
          <w:i/>
          <w:iCs/>
          <w:sz w:val="24"/>
          <w:szCs w:val="24"/>
        </w:rPr>
        <w:t>[Insert Local Cycle in this space]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Implementation of Graduation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 xml:space="preserve">The school board shall appoint a Graduation Standards Implementation Committee which shall advise the school board on implementation of the state and local graduation requirements, including K-12 curriculum, assessment, student learning opportunities, and other related issues.  Recommendations of this committee shall be published annually to the community.  The school board shall receive public input and comment and shall adopt or update this policy at least annually.  The Graduation Standards Implementation Committee </w:t>
      </w:r>
      <w:r>
        <w:rPr>
          <w:rFonts w:cs="Times New Roman" w:ascii="Times New Roman" w:hAnsi="Times New Roman"/>
          <w:i/>
          <w:iCs/>
          <w:sz w:val="24"/>
          <w:szCs w:val="24"/>
        </w:rPr>
        <w:t>[will/will not]</w:t>
      </w:r>
      <w:r>
        <w:rPr>
          <w:rFonts w:cs="Times New Roman" w:ascii="Times New Roman" w:hAnsi="Times New Roman"/>
          <w:sz w:val="24"/>
          <w:szCs w:val="24"/>
        </w:rPr>
        <w:t xml:space="preserve"> be comprised of the Advisory Committee for Comprehensive Continuous Improvement of Student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The school board shall annually review and determine if student achievement levels at each school site meet federal expectations.  If the school board determines that student achievement levels at a school site do not meet federal expectations and the site has not made adequate yearly progress for two consecutive school years, the Graduation Standards Implementation Committee shall work with the school site to adopt a plan to raise student achievement levels to meet federal expectations. The Graduation Standards Implementation Committee may seek assistance from the Commissioner of the Minnesota Department of Education (MDE) (Commissioner) in developing a plan which must include parental involvement components.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The educational assessment system component utilized by the school board to measure individual students’ educational progress must be based, to the extent annual tests are administered, on indicators of achievement growth that show an individual student’s prior achievement.  Indicators of achievement and prior achievement must be based on highly reliable statewide or districtwide assessments.  The school board will utilize models developed by the Commissioner for measuring individual student progress.  The school board must coordinate with MDE in evaluating school sites and continuous improvement plans, consistent with best practices.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Advisory Committee for Comprehensive Continuous Improvement of Student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By [</w:t>
      </w:r>
      <w:r>
        <w:rPr>
          <w:rFonts w:cs="Times New Roman" w:ascii="Times New Roman" w:hAnsi="Times New Roman"/>
          <w:sz w:val="24"/>
          <w:szCs w:val="24"/>
          <w:u w:val="single"/>
        </w:rPr>
        <w:t xml:space="preserve">     </w:t>
      </w:r>
      <w:r>
        <w:rPr>
          <w:rFonts w:cs="Times New Roman" w:ascii="Times New Roman" w:hAnsi="Times New Roman"/>
          <w:i/>
          <w:sz w:val="24"/>
          <w:szCs w:val="24"/>
          <w:u w:val="single"/>
        </w:rPr>
        <w:t>date</w:t>
      </w:r>
      <w:r>
        <w:rPr>
          <w:rFonts w:cs="Times New Roman" w:ascii="Times New Roman" w:hAnsi="Times New Roman"/>
          <w:sz w:val="24"/>
          <w:szCs w:val="24"/>
          <w:u w:val="single"/>
        </w:rPr>
        <w:t xml:space="preserve">      </w:t>
      </w:r>
      <w:r>
        <w:rPr>
          <w:rFonts w:cs="Times New Roman" w:ascii="Times New Roman" w:hAnsi="Times New Roman"/>
          <w:sz w:val="24"/>
          <w:szCs w:val="24"/>
        </w:rPr>
        <w:t>] of each year, the Advisory Committee will meet to advise and assist the school district in the implementation of the school district system accountability and comprehensive continuous improvement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The Advisory Committee, working in cooperation with other committees of the school district [</w:t>
      </w:r>
      <w:r>
        <w:rPr>
          <w:rFonts w:cs="Times New Roman" w:ascii="Times New Roman" w:hAnsi="Times New Roman"/>
          <w:i/>
          <w:sz w:val="24"/>
          <w:szCs w:val="24"/>
        </w:rPr>
        <w:t>such as the Technology, Educational Effectiveness, Grade Level, Site Instruction, Curriculum and Assessment Committees, etc.</w:t>
      </w:r>
      <w:r>
        <w:rPr>
          <w:rFonts w:cs="Times New Roman" w:ascii="Times New Roman" w:hAnsi="Times New Roman"/>
          <w:sz w:val="24"/>
          <w:szCs w:val="24"/>
        </w:rPr>
        <w:t>], will provide active community participation 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Reviewing the school district instructional and curriculum plan, with emphasis on implementing the Minnesota Graduation Standards;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Identifying annual instruction and curriculum improvement goals for recommendation to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Making recommendations regarding the evaluation process that will be used to measure school district progress toward its goals;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Advising the school board about development of the annual budget.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The Advisory Committee shall meet the following criteria: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The Advisory Committee shall ensure active community participation in all planning for instruction and curriculum affecting Graduation Standards.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The Advisory Committee shall make recommendations to the school board on school district-wide standards, assessments, and program evaluation.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Building teams may be established as subcommittees to develop and implement an education effectiveness plan and to carry out methods to improve instruction, curriculum, and assessments as well as methods to use technology in meeting the school district improvement plan.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A local plan to evaluate student progress, using a local process, shall be used for developing a plan for assessment of student progress toward the Graduation Standards, as well as program evaluation data for use by the Advisory Committee in the instruction and curriculum review process.  This plan shall annually be approved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The Advisory Committee shall, when possible, be comprised of two-thirds community representatives and shall reflect the diversity of the community.  Included in its membership should be: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The Director of Curriculum (or similar educational leader)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Principal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c.</w:t>
        <w:tab/>
        <w:t>School Board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d.</w:t>
        <w:tab/>
        <w:t>Student Representative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One teacher from each building or instructional level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Two parents from each building or instructional level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g.</w:t>
        <w:tab/>
        <w:t>Two residents without school-aged children, non-representative of local business or industry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h.</w:t>
        <w:tab/>
        <w:t>Two residents representative of local business or industry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i.</w:t>
        <w:tab/>
        <w:t>School District Test Administrator (if different from “a.” above)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The Advisory Committee shall meet the following timeline each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3240" w:right="0" w:hanging="1080"/>
        <w:jc w:val="both"/>
        <w:rPr/>
      </w:pPr>
      <w:r>
        <w:rPr>
          <w:rFonts w:cs="Times New Roman" w:ascii="Times New Roman" w:hAnsi="Times New Roman"/>
          <w:sz w:val="24"/>
          <w:szCs w:val="24"/>
        </w:rPr>
        <w:t>Month:</w:t>
        <w:tab/>
        <w:t>Organizational meeting of the Committee to review the authorizing legislation and the roles and responsibilities of the Committee as determined by the school board.</w:t>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3240" w:right="0" w:hanging="1080"/>
        <w:jc w:val="both"/>
        <w:rPr/>
      </w:pPr>
      <w:r>
        <w:rPr>
          <w:rFonts w:cs="Times New Roman" w:ascii="Times New Roman" w:hAnsi="Times New Roman"/>
          <w:sz w:val="24"/>
          <w:szCs w:val="24"/>
        </w:rPr>
        <w:t>Month(s):</w:t>
        <w:tab/>
        <w:t>Agree on the process to be used.  Become familiar with the instruction and curriculum of the cycle content area.</w:t>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3240" w:right="0" w:hanging="1080"/>
        <w:jc w:val="both"/>
        <w:rPr/>
      </w:pPr>
      <w:r>
        <w:rPr>
          <w:rFonts w:cs="Times New Roman" w:ascii="Times New Roman" w:hAnsi="Times New Roman"/>
          <w:sz w:val="24"/>
          <w:szCs w:val="24"/>
        </w:rPr>
        <w:t>Month(s):</w:t>
        <w:tab/>
        <w:t>Review evaluation results and prepare recommendations.</w:t>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3240" w:right="0" w:hanging="1080"/>
        <w:jc w:val="both"/>
        <w:rPr/>
      </w:pPr>
      <w:r>
        <w:rPr>
          <w:rFonts w:cs="Times New Roman" w:ascii="Times New Roman" w:hAnsi="Times New Roman"/>
          <w:sz w:val="24"/>
          <w:szCs w:val="24"/>
        </w:rPr>
        <w:t>Month:</w:t>
        <w:tab/>
        <w:t>Present recommendations to the school board for its input and approval.</w:t>
      </w:r>
    </w:p>
    <w:p>
      <w:pPr>
        <w:pStyle w:val="Normal"/>
        <w:tabs>
          <w:tab w:val="clear" w:pos="720"/>
          <w:tab w:val="left" w:pos="-1080" w:leader="none"/>
          <w:tab w:val="left" w:pos="-720" w:leader="none"/>
          <w:tab w:val="left" w:pos="642" w:leader="none"/>
          <w:tab w:val="left" w:pos="2160" w:leader="none"/>
          <w:tab w:val="left" w:pos="3240" w:leader="none"/>
          <w:tab w:val="left" w:pos="5702" w:leader="none"/>
          <w:tab w:val="left" w:pos="720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1440" w:right="0" w:hanging="720"/>
        <w:jc w:val="both"/>
        <w:rPr/>
      </w:pPr>
      <w:r>
        <w:rPr>
          <w:rFonts w:cs="Times New Roman" w:ascii="Times New Roman" w:hAnsi="Times New Roman"/>
          <w:sz w:val="24"/>
          <w:szCs w:val="24"/>
        </w:rPr>
        <w:t>E.</w:t>
        <w:tab/>
      </w:r>
      <w:r>
        <w:rPr>
          <w:rFonts w:cs="Times New Roman" w:ascii="Times New Roman" w:hAnsi="Times New Roman"/>
          <w:sz w:val="24"/>
          <w:szCs w:val="24"/>
          <w:u w:val="single"/>
        </w:rPr>
        <w:t>Evaluation of Student Progress Committee</w:t>
      </w:r>
      <w:r>
        <w:rPr>
          <w:rFonts w:cs="Times New Roman" w:ascii="Times New Roman" w:hAnsi="Times New Roman"/>
          <w:sz w:val="24"/>
          <w:szCs w:val="24"/>
        </w:rPr>
        <w:t>.  A committee of professional staff shall develop a plan for assessment of student progress toward the Graduation Standards, as well as program evaluation data for use by the Advisory Committee in the instruction and curriculum review process.  This plan shall annually be approved by the school board.</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1440" w:right="0" w:hanging="720"/>
        <w:jc w:val="both"/>
        <w:rPr/>
      </w:pPr>
      <w:r>
        <w:rPr>
          <w:rFonts w:cs="Times New Roman" w:ascii="Times New Roman" w:hAnsi="Times New Roman"/>
          <w:sz w:val="24"/>
          <w:szCs w:val="24"/>
        </w:rPr>
        <w:t>F.</w:t>
        <w:tab/>
      </w:r>
      <w:r>
        <w:rPr>
          <w:rFonts w:cs="Times New Roman" w:ascii="Times New Roman" w:hAnsi="Times New Roman"/>
          <w:sz w:val="24"/>
          <w:szCs w:val="24"/>
          <w:u w:val="single"/>
        </w:rPr>
        <w:t>Educational Planning and Assessment System</w:t>
      </w:r>
      <w:r>
        <w:rPr>
          <w:rFonts w:cs="Times New Roman" w:ascii="Times New Roman" w:hAnsi="Times New Roman"/>
          <w:sz w:val="24"/>
          <w:szCs w:val="24"/>
        </w:rPr>
        <w:t>.  The school district may elect to participate in the Educational Planning and Assessment System (EPAS) program offered by ACT, Inc., to provide a longitudinal, systematic approach to student educational and career planning, assessment, instructional support, and evaluation.</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1440" w:right="0" w:hanging="720"/>
        <w:jc w:val="both"/>
        <w:rPr/>
      </w:pPr>
      <w:r>
        <w:rPr>
          <w:rFonts w:cs="Times New Roman" w:ascii="Times New Roman" w:hAnsi="Times New Roman"/>
          <w:sz w:val="24"/>
          <w:szCs w:val="24"/>
        </w:rPr>
        <w:t>G.</w:t>
        <w:tab/>
      </w:r>
      <w:r>
        <w:rPr>
          <w:rFonts w:cs="Times New Roman" w:ascii="Times New Roman" w:hAnsi="Times New Roman"/>
          <w:sz w:val="24"/>
          <w:szCs w:val="24"/>
          <w:u w:val="single"/>
        </w:rPr>
        <w:t>Reporting</w:t>
      </w:r>
      <w:r>
        <w:rPr>
          <w:rFonts w:cs="Times New Roman" w:ascii="Times New Roman" w:hAnsi="Times New Roman"/>
          <w:sz w:val="24"/>
          <w:szCs w:val="24"/>
        </w:rPr>
        <w:t xml:space="preserve">.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 xml:space="preserve">Consistent with Minn. Stat. § 120B.36, Subd. 1, the school board shall publish a report in the local newspaper with the largest circulation in the district, by mail, or by electronic means on the school district website.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The school board shall hold an annual public meeting to review and revise, where appropriate, student achievement goals, local assessment outcomes, plans, strategies, and practices for improving curriculum and instruction, and to review school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  The school district shall periodically survey affected constituencies about their connection to and level of satisfaction with school.  The school district shall include the results of this evaluation in its summary report to the Commissioner.</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120B.02 (Educational Expectations for Minnesota’s Students)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bCs/>
          <w:sz w:val="24"/>
          <w:szCs w:val="24"/>
        </w:rPr>
        <w:t>Minn. Stat. § 120B.018 (Definitions)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Minn. Stat. § 120B.11 (School District Process)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Minn. Stat. § 120B.128 (Educational Planning and Assessment System (EPAS) Program)</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Minn. Stat. § 120B.35 (Student Achievement Levels)</w:t>
      </w:r>
    </w:p>
    <w:p>
      <w:pPr>
        <w:pStyle w:val="Normal"/>
        <w:bidi w:val="0"/>
        <w:ind w:left="1440" w:right="0" w:firstLine="720"/>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Minn. Stat. § 120B.36 (School Accountability; Appeals Process)</w:t>
      </w:r>
    </w:p>
    <w:p>
      <w:pPr>
        <w:pStyle w:val="Normal"/>
        <w:bidi w:val="0"/>
        <w:ind w:left="2160" w:right="0" w:hanging="0"/>
        <w:rPr/>
      </w:pPr>
      <w:r>
        <w:rPr>
          <w:rFonts w:cs="Times New Roman" w:ascii="Times New Roman" w:hAnsi="Times New Roman"/>
          <w:sz w:val="24"/>
          <w:szCs w:val="24"/>
        </w:rPr>
        <w:t>Minn. Stat. § 122A.40, Subd. 8 (Employment; Contracts; Termination)</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Minn. Stat. § 122A.41, Subd. 5 (Teacher Tenure Act; Cities of the First Class; Definitions)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Minn. Stat. § 123B.04 (Site Decision Making Agreement)</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Minn. Stat. § 123B.147, Subd. 3 (Principals)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3501.0640-3501.0655 (Academic Standards for Language 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3501.0700-3501.0745 (Academic Standards for Mathematics)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3501.0800-3501.0815 (Academic Standards for the 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3501.0900-3501.0955 (Academic Standards in Science)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Minn. Rules Parts 3501.1300-3501.1345 (Academic Standards for Social Studies)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 xml:space="preserve">20 U.S.C. § 6301, </w:t>
      </w:r>
      <w:r>
        <w:rPr>
          <w:rFonts w:cs="Times New Roman" w:ascii="Times New Roman" w:hAnsi="Times New Roman"/>
          <w:i/>
          <w:iCs/>
          <w:sz w:val="24"/>
          <w:szCs w:val="24"/>
        </w:rPr>
        <w:t>et seq.</w:t>
      </w:r>
      <w:r>
        <w:rPr>
          <w:rFonts w:cs="Times New Roman" w:ascii="Times New Roman" w:hAnsi="Times New Roman"/>
          <w:sz w:val="24"/>
          <w:szCs w:val="24"/>
        </w:rPr>
        <w:t xml:space="preserve"> (No Child Left Behind Act)</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104 (School District Mission Statement)</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601 (School District Curriculum and Instruction Goals)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613 (Graduation Requirements)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614 (School District Testing Plan and Procedure)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615 (Testing Accommodations, Modifications, and Exemptions for IEPs, Section 504 Plans, and LEP Students)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617 (School District Ensurance of Preparatory and High School Standards)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618 (Assessment of Student Achievement)</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619 (Staff Development for Standards)</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620 (Credit for Learning)</w:t>
      </w:r>
    </w:p>
    <w:sectPr>
      <w:footerReference w:type="default" r:id="rId2"/>
      <w:type w:val="nextPage"/>
      <w:pgSz w:w="12240" w:h="15840"/>
      <w:pgMar w:left="1440" w:right="1440" w:gutter="0" w:header="0" w:top="1440" w:footer="720" w:bottom="15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616-</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6</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616-</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6</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QuickFormat1">
    <w:name w:val="QuickFormat1"/>
    <w:qFormat/>
    <w:rPr>
      <w:rFonts w:ascii="Times New Roman" w:hAnsi="Times New Roman"/>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odyText2Char">
    <w:name w:val="Body Text 2 Char"/>
    <w:basedOn w:val="DefaultParagraphFont"/>
    <w:qFormat/>
    <w:rPr/>
  </w:style>
  <w:style w:type="character" w:styleId="BodyTextIndent2Char">
    <w:name w:val="Body Text Indent 2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spacing w:lineRule="atLeast" w:line="240"/>
      <w:ind w:left="1440" w:hanging="0"/>
      <w:jc w:val="both"/>
    </w:pPr>
    <w:rPr>
      <w:sz w:val="24"/>
      <w:szCs w:val="24"/>
    </w:rPr>
  </w:style>
  <w:style w:type="paragraph" w:styleId="BodyTextIndent2">
    <w:name w:val="Body Text Indent 2"/>
    <w:basedOn w:val="Normal"/>
    <w:qFormat/>
    <w:pPr>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spacing w:lineRule="atLeast" w:line="240"/>
      <w:ind w:left="2160" w:hanging="720"/>
      <w:jc w:val="both"/>
    </w:pPr>
    <w:rPr>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1858</Words>
  <Characters>12429</Characters>
  <CharactersWithSpaces>10595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2015-11-16T10:58:00Z</dcterms:created>
  <dc:creator>shonetschlager</dc:creator>
  <dc:description/>
  <dc:language>en-US</dc:language>
  <cp:lastModifiedBy/>
  <cp:lastPrinted>2013-07-26T08:20:00Z</cp:lastPrinted>
  <dcterms:modified xsi:type="dcterms:W3CDTF">2015-11-16T10:58:00Z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