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40" w:rsidRDefault="00784940">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994450">
        <w:rPr>
          <w:rFonts w:ascii="Times New Roman" w:hAnsi="Times New Roman" w:cs="Times New Roman"/>
          <w:i/>
          <w:iCs/>
          <w:sz w:val="24"/>
          <w:szCs w:val="24"/>
          <w:u w:val="single"/>
        </w:rPr>
        <w:t>July 13,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301</w:t>
      </w:r>
    </w:p>
    <w:p w:rsidR="00784940" w:rsidRDefault="00784940">
      <w:pPr>
        <w:pStyle w:val="Heading1"/>
        <w:rPr>
          <w:rFonts w:ascii="Times New Roman" w:hAnsi="Times New Roman" w:cs="Times New Roman"/>
          <w:sz w:val="24"/>
          <w:szCs w:val="24"/>
        </w:rPr>
      </w:pPr>
      <w:r>
        <w:rPr>
          <w:rFonts w:ascii="Times New Roman" w:hAnsi="Times New Roman" w:cs="Times New Roman"/>
          <w:sz w:val="24"/>
          <w:szCs w:val="24"/>
        </w:rPr>
        <w:t>Orig. 1995</w:t>
      </w:r>
    </w:p>
    <w:p w:rsidR="00784940" w:rsidRDefault="00784940">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 2011</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301</w:t>
      </w:r>
      <w:r>
        <w:rPr>
          <w:rFonts w:ascii="Times New Roman" w:hAnsi="Times New Roman" w:cs="Times New Roman"/>
          <w:b/>
          <w:bCs/>
          <w:sz w:val="24"/>
          <w:szCs w:val="24"/>
        </w:rPr>
        <w:tab/>
        <w:t>SCHOOL DISTRICT ADMINISTRATION</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policy is to clarify the role of the school district administration and its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with the school board.</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Effective administration and sound management practices are essential to realizing educational excellence.  It is the responsibility of the school district administration to develop a school environment that recognizes the dignity of each student and employee, and the right of each student to access educational programs and services.</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board expects all activities related to the operation of the school district to be administered in a well-planned manner, conducted in an orderly fashion, and to be consistent with the policies of the school board.</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school board shall seek specific recommendations, background information and professional advice from the school district administration, and will hold the administration accountable for sound management of the schools.</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Although the school board holds the superintendent ultimately responsible for administration of the school district</w:t>
      </w:r>
      <w:r w:rsidR="00131E88">
        <w:rPr>
          <w:rFonts w:ascii="Times New Roman" w:hAnsi="Times New Roman" w:cs="Times New Roman"/>
          <w:sz w:val="24"/>
          <w:szCs w:val="24"/>
        </w:rPr>
        <w:t xml:space="preserve"> </w:t>
      </w:r>
      <w:r w:rsidR="00131E88" w:rsidRPr="00784940">
        <w:rPr>
          <w:rFonts w:ascii="Times New Roman" w:hAnsi="Times New Roman" w:cs="Times New Roman"/>
          <w:color w:val="000000" w:themeColor="text1"/>
          <w:sz w:val="24"/>
          <w:szCs w:val="24"/>
        </w:rPr>
        <w:t>and annual evaluation of each principal</w:t>
      </w:r>
      <w:r>
        <w:rPr>
          <w:rFonts w:ascii="Times New Roman" w:hAnsi="Times New Roman" w:cs="Times New Roman"/>
          <w:sz w:val="24"/>
          <w:szCs w:val="24"/>
        </w:rPr>
        <w:t xml:space="preserve">, the school board also recognizes the direct responsibility of principals for educational results and effective </w:t>
      </w:r>
      <w:r w:rsidR="00131E88" w:rsidRPr="00784940">
        <w:rPr>
          <w:rFonts w:ascii="Times New Roman" w:hAnsi="Times New Roman" w:cs="Times New Roman"/>
          <w:color w:val="000000" w:themeColor="text1"/>
          <w:sz w:val="24"/>
          <w:szCs w:val="24"/>
        </w:rPr>
        <w:t>administration, supervisory, and instructional</w:t>
      </w:r>
      <w:r w:rsidR="00131E88">
        <w:rPr>
          <w:rFonts w:ascii="Times New Roman" w:hAnsi="Times New Roman" w:cs="Times New Roman"/>
          <w:sz w:val="24"/>
          <w:szCs w:val="24"/>
        </w:rPr>
        <w:t xml:space="preserve"> </w:t>
      </w:r>
      <w:r>
        <w:rPr>
          <w:rFonts w:ascii="Times New Roman" w:hAnsi="Times New Roman" w:cs="Times New Roman"/>
          <w:sz w:val="24"/>
          <w:szCs w:val="24"/>
        </w:rPr>
        <w:t>leadership at the school building level.</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school board and school administration shall work together to share information and decisions that best serve the needs of school district students within financial and facility constraints that may exist.</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123B.143 (Superintendent)</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123B.147 (Principals)</w:t>
      </w: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84940" w:rsidRDefault="0078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 Service Manual, Chapter 3, Superintendent of Schools</w:t>
      </w:r>
    </w:p>
    <w:sectPr w:rsidR="00784940">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40" w:rsidRDefault="00784940">
      <w:r>
        <w:separator/>
      </w:r>
    </w:p>
  </w:endnote>
  <w:endnote w:type="continuationSeparator" w:id="0">
    <w:p w:rsidR="00784940" w:rsidRDefault="007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40" w:rsidRDefault="00784940">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301-</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994450">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784940" w:rsidRDefault="0078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40" w:rsidRDefault="00784940">
      <w:r>
        <w:separator/>
      </w:r>
    </w:p>
  </w:footnote>
  <w:footnote w:type="continuationSeparator" w:id="0">
    <w:p w:rsidR="00784940" w:rsidRDefault="0078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008"/>
    <w:rsid w:val="00131E88"/>
    <w:rsid w:val="00766434"/>
    <w:rsid w:val="00784940"/>
    <w:rsid w:val="00994450"/>
    <w:rsid w:val="00A2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Sandy Lemcke</cp:lastModifiedBy>
  <cp:revision>2</cp:revision>
  <dcterms:created xsi:type="dcterms:W3CDTF">2017-01-05T16:24:00Z</dcterms:created>
  <dcterms:modified xsi:type="dcterms:W3CDTF">2017-01-05T16:24:00Z</dcterms:modified>
</cp:coreProperties>
</file>