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MSBA/MASA Model Policy 214</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2005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214</w:t>
        <w:tab/>
        <w:t>OUT-OF-STATE TRAVEL BY SCHOOL BOARD MEMBERS</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720" w:end="0" w:hanging="0"/>
        <w:jc w:val="both"/>
        <w:rPr/>
      </w:pPr>
      <w:r>
        <w:rPr>
          <w:rFonts w:cs="Times New Roman" w:ascii="Times New Roman" w:hAnsi="Times New Roman"/>
          <w:b/>
          <w:bCs/>
          <w:i/>
          <w:iCs/>
          <w:sz w:val="24"/>
          <w:szCs w:val="24"/>
        </w:rPr>
        <w:t>[Note:  School districts are required by statute to adopt a policy addressing this issue.]</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s>
        <w:bidi w:val="0"/>
        <w:ind w:start="720" w:end="0" w:hanging="720"/>
        <w:jc w:val="both"/>
        <w:rPr/>
      </w:pPr>
      <w:r>
        <w:rPr>
          <w:rFonts w:cs="Times New Roman" w:ascii="Times New Roman" w:hAnsi="Times New Roman"/>
          <w:b/>
          <w:bCs/>
          <w:sz w:val="24"/>
          <w:szCs w:val="24"/>
        </w:rPr>
        <w:t>I.</w:t>
        <w:tab/>
        <w:t>PURPOSE</w:t>
      </w:r>
    </w:p>
    <w:p>
      <w:pPr>
        <w:pStyle w:val="Normal"/>
        <w:widowControl/>
        <w:bidi w:val="0"/>
        <w:ind w:start="72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720" w:end="0" w:hanging="0"/>
        <w:jc w:val="both"/>
        <w:rPr/>
      </w:pPr>
      <w:r>
        <w:rPr>
          <w:rFonts w:cs="Times New Roman" w:ascii="Times New Roman" w:hAnsi="Times New Roman"/>
          <w:sz w:val="24"/>
          <w:szCs w:val="24"/>
        </w:rPr>
        <w:t>The purpose of this policy is to control out-of-state travel by school board members as required by law.</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s>
        <w:bidi w:val="0"/>
        <w:ind w:start="720" w:end="0" w:hanging="720"/>
        <w:jc w:val="both"/>
        <w:rPr/>
      </w:pPr>
      <w:r>
        <w:rPr>
          <w:rFonts w:cs="Times New Roman" w:ascii="Times New Roman" w:hAnsi="Times New Roman"/>
          <w:b/>
          <w:bCs/>
          <w:sz w:val="24"/>
          <w:szCs w:val="24"/>
        </w:rPr>
        <w:t>II.</w:t>
        <w:tab/>
        <w:t>GENERAL STATEMENT OF POLICY</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720" w:end="0" w:hanging="0"/>
        <w:jc w:val="both"/>
        <w:rPr/>
      </w:pPr>
      <w:r>
        <w:rPr>
          <w:rFonts w:cs="Times New Roman" w:ascii="Times New Roman" w:hAnsi="Times New Roman"/>
          <w:sz w:val="24"/>
          <w:szCs w:val="24"/>
        </w:rPr>
        <w:t>School board members have an obligation to become informed on the proper duties and functions of a school board member, to become familiar with issues that may affect the school district, to acquire a basic understanding of school finance and budgeting, and to acquire sufficient knowledge to comply with federal, state, and local laws, rules, regulations, and school district policies that relate to their functions as school board members.  Occasionally, it may be appropriate for school board members to travel out of state to fulfill their obligations.</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s>
        <w:bidi w:val="0"/>
        <w:ind w:start="720" w:end="0" w:hanging="720"/>
        <w:jc w:val="both"/>
        <w:rPr/>
      </w:pPr>
      <w:r>
        <w:rPr>
          <w:rFonts w:cs="Times New Roman" w:ascii="Times New Roman" w:hAnsi="Times New Roman"/>
          <w:b/>
          <w:bCs/>
          <w:sz w:val="24"/>
          <w:szCs w:val="24"/>
        </w:rPr>
        <w:t>III.</w:t>
        <w:tab/>
        <w:t>APPROPRIATE TRAVEL</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720" w:end="0" w:hanging="0"/>
        <w:jc w:val="both"/>
        <w:rPr/>
      </w:pPr>
      <w:r>
        <w:rPr>
          <w:rFonts w:cs="Times New Roman" w:ascii="Times New Roman" w:hAnsi="Times New Roman"/>
          <w:sz w:val="24"/>
          <w:szCs w:val="24"/>
        </w:rPr>
        <w:t>Travel outside the state is appropriate when the school board finds it proper for school board members to acquire knowledge and information necessary to allow them to carry out their responsibilities as school board members.  Travel to regional or national meetings of the National School Boards Association is presumed to fulfill this purpose.  Travel to other out-of-state meetings for which the member intends to seek reimbursement from the school district should be preapproved by the school board.</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s>
        <w:bidi w:val="0"/>
        <w:ind w:start="720" w:end="0" w:hanging="720"/>
        <w:jc w:val="both"/>
        <w:rPr/>
      </w:pPr>
      <w:r>
        <w:rPr>
          <w:rFonts w:cs="Times New Roman" w:ascii="Times New Roman" w:hAnsi="Times New Roman"/>
          <w:b/>
          <w:bCs/>
          <w:sz w:val="24"/>
          <w:szCs w:val="24"/>
        </w:rPr>
        <w:t>IV.</w:t>
        <w:tab/>
        <w:t>REIMBURSABLE EXPENSES</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720" w:end="0" w:hanging="0"/>
        <w:jc w:val="both"/>
        <w:rPr/>
      </w:pPr>
      <w:r>
        <w:rPr>
          <w:rFonts w:cs="Times New Roman" w:ascii="Times New Roman" w:hAnsi="Times New Roman"/>
          <w:sz w:val="24"/>
          <w:szCs w:val="24"/>
        </w:rPr>
        <w:t>Expenses to be reimbursed may include transportation, meals, lodging, registration fees, required materials, parking fees, tips, and other reasonable and necessary school district-related expenses.</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s>
        <w:bidi w:val="0"/>
        <w:ind w:start="720" w:end="0" w:hanging="720"/>
        <w:jc w:val="both"/>
        <w:rPr/>
      </w:pPr>
      <w:r>
        <w:rPr>
          <w:rFonts w:cs="Times New Roman" w:ascii="Times New Roman" w:hAnsi="Times New Roman"/>
          <w:b/>
          <w:bCs/>
          <w:sz w:val="24"/>
          <w:szCs w:val="24"/>
        </w:rPr>
        <w:t>V.</w:t>
        <w:tab/>
        <w:t>REIMBURSEMENT</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start="1440" w:end="0" w:hanging="720"/>
        <w:jc w:val="both"/>
        <w:rPr/>
      </w:pPr>
      <w:r>
        <w:rPr>
          <w:rFonts w:cs="Times New Roman" w:ascii="Times New Roman" w:hAnsi="Times New Roman"/>
          <w:sz w:val="24"/>
          <w:szCs w:val="24"/>
        </w:rPr>
        <w:t>A.</w:t>
        <w:tab/>
        <w:t>Requests for reimbursement must be itemized on the official school district form and are to be submitted to the designated administrator.  Receipts for lodging, commercial transportation, registration, and other reasonable and necessary expenses must be attached to the reimbursement form.</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start="1440" w:end="0" w:hanging="720"/>
        <w:jc w:val="both"/>
        <w:rPr/>
      </w:pPr>
      <w:r>
        <w:rPr>
          <w:rFonts w:cs="Times New Roman" w:ascii="Times New Roman" w:hAnsi="Times New Roman"/>
          <w:sz w:val="24"/>
          <w:szCs w:val="24"/>
        </w:rPr>
        <w:t>B.</w:t>
        <w:tab/>
        <w:t>Automobile travel shall be reimbursed at the mileage rate set by the school board.  Commercial transportation shall reflect economy fares and shall be reimbursed only for the actual cost of the trip.</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start="1440" w:end="0" w:hanging="1440"/>
        <w:jc w:val="both"/>
        <w:rPr/>
      </w:pPr>
      <w:r>
        <w:rPr>
          <w:rFonts w:cs="Times New Roman" w:ascii="Times New Roman" w:hAnsi="Times New Roman"/>
          <w:sz w:val="24"/>
          <w:szCs w:val="24"/>
        </w:rPr>
        <w:tab/>
        <w:t>C.</w:t>
        <w:tab/>
        <w:t>Amounts to be reimbursed shall be within the school board’s approved budget allocations, including attendance at workshops and conventions.</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s>
        <w:bidi w:val="0"/>
        <w:ind w:start="720" w:end="0" w:hanging="720"/>
        <w:jc w:val="both"/>
        <w:rPr/>
      </w:pPr>
      <w:r>
        <w:rPr>
          <w:rFonts w:cs="Times New Roman" w:ascii="Times New Roman" w:hAnsi="Times New Roman"/>
          <w:b/>
          <w:bCs/>
          <w:sz w:val="24"/>
          <w:szCs w:val="24"/>
        </w:rPr>
        <w:t>VI.</w:t>
        <w:tab/>
        <w:t>ESTABLISHMENT OF DIRECTIVES AND GUIDELINES</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720" w:end="0" w:hanging="0"/>
        <w:jc w:val="both"/>
        <w:rPr/>
      </w:pPr>
      <w:r>
        <w:rPr>
          <w:rFonts w:cs="Times New Roman" w:ascii="Times New Roman" w:hAnsi="Times New Roman"/>
          <w:sz w:val="24"/>
          <w:szCs w:val="24"/>
        </w:rPr>
        <w:t>The superintendent shall develop a schedule of reimbursement rates for school district business expenses, including those expenses requiring advance approval and specific rates of reimbursement.  The superintendent shall also develop directives and guidelines to address methods and times for submission of requests for reimbursement.</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 w:val="left" w:pos="2160" w:leader="none"/>
        </w:tabs>
        <w:bidi w:val="0"/>
        <w:ind w:start="2160" w:end="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123B.09, Subd. 2 (School Board Member Training)</w:t>
      </w:r>
    </w:p>
    <w:p>
      <w:pPr>
        <w:pStyle w:val="Normal"/>
        <w:widowControl/>
        <w:bidi w:val="0"/>
        <w:ind w:start="0" w:end="0" w:hanging="0"/>
        <w:jc w:val="both"/>
        <w:rPr/>
      </w:pPr>
      <w:r>
        <w:rPr>
          <w:rFonts w:cs="Times New Roman" w:ascii="Times New Roman" w:hAnsi="Times New Roman"/>
          <w:sz w:val="24"/>
          <w:szCs w:val="24"/>
        </w:rPr>
        <w:tab/>
        <w:tab/>
        <w:tab/>
        <w:t>Minn. Stat. § 471.661 (Out-of-State Travel)</w:t>
      </w:r>
    </w:p>
    <w:p>
      <w:pPr>
        <w:pStyle w:val="Normal"/>
        <w:widowControl/>
        <w:bidi w:val="0"/>
        <w:ind w:start="0" w:end="0" w:hanging="0"/>
        <w:jc w:val="both"/>
        <w:rPr/>
      </w:pPr>
      <w:r>
        <w:rPr>
          <w:rFonts w:cs="Times New Roman" w:ascii="Times New Roman" w:hAnsi="Times New Roman"/>
          <w:sz w:val="24"/>
          <w:szCs w:val="24"/>
        </w:rPr>
        <w:tab/>
        <w:tab/>
        <w:tab/>
        <w:t>Minn. Stat. § 471.665 (Mileage Allowances)</w:t>
      </w:r>
    </w:p>
    <w:p>
      <w:pPr>
        <w:pStyle w:val="Normal"/>
        <w:widowControl/>
        <w:bidi w:val="0"/>
        <w:ind w:start="0" w:end="0" w:hanging="0"/>
        <w:jc w:val="both"/>
        <w:rPr/>
      </w:pPr>
      <w:r>
        <w:rPr>
          <w:rFonts w:cs="Times New Roman" w:ascii="Times New Roman" w:hAnsi="Times New Roman"/>
          <w:sz w:val="24"/>
          <w:szCs w:val="24"/>
        </w:rPr>
        <w:tab/>
        <w:tab/>
        <w:tab/>
        <w:t>Minn. Op. Atty. Gen. 1035 (Aug. 23, 1999) (Retreat Expenses)</w:t>
      </w:r>
    </w:p>
    <w:p>
      <w:pPr>
        <w:pStyle w:val="Normal"/>
        <w:widowControl/>
        <w:tabs>
          <w:tab w:val="left" w:pos="720" w:leader="none"/>
          <w:tab w:val="left" w:pos="1440" w:leader="none"/>
          <w:tab w:val="left" w:pos="2160" w:leader="none"/>
        </w:tabs>
        <w:bidi w:val="0"/>
        <w:ind w:start="2160" w:end="0" w:hanging="2160"/>
        <w:jc w:val="both"/>
        <w:rPr/>
      </w:pPr>
      <w:r>
        <w:rPr>
          <w:rFonts w:cs="Times New Roman" w:ascii="Times New Roman" w:hAnsi="Times New Roman"/>
          <w:sz w:val="24"/>
          <w:szCs w:val="24"/>
        </w:rPr>
        <w:tab/>
        <w:tab/>
        <w:tab/>
        <w:t>Minn. Op. Atty. Gen. 161b-12 (Aug. 4, 1997) (Transportation Expenses)</w:t>
      </w:r>
    </w:p>
    <w:p>
      <w:pPr>
        <w:pStyle w:val="Normal"/>
        <w:widowControl/>
        <w:bidi w:val="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start="0" w:end="0" w:hanging="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212 (School Board Member Development)</w:t>
      </w:r>
    </w:p>
    <w:p>
      <w:pPr>
        <w:pStyle w:val="Normal"/>
        <w:widowControl/>
        <w:tabs>
          <w:tab w:val="left" w:pos="720" w:leader="none"/>
          <w:tab w:val="left" w:pos="1440" w:leader="none"/>
          <w:tab w:val="left" w:pos="2160" w:leader="none"/>
        </w:tabs>
        <w:bidi w:val="0"/>
        <w:ind w:start="2160" w:end="0" w:hanging="2160"/>
        <w:jc w:val="both"/>
        <w:rPr/>
      </w:pPr>
      <w:r>
        <w:rPr>
          <w:rFonts w:cs="Times New Roman" w:ascii="Times New Roman" w:hAnsi="Times New Roman"/>
          <w:sz w:val="24"/>
          <w:szCs w:val="24"/>
        </w:rPr>
        <w:tab/>
        <w:tab/>
        <w:tab/>
        <w:t>MSBA/MASA Model Policy 412 (Expense Reimbursement)</w:t>
      </w:r>
    </w:p>
    <w:p>
      <w:pPr>
        <w:pStyle w:val="Normal"/>
        <w:widowControl/>
        <w:bidi w:val="0"/>
        <w:ind w:start="0" w:end="0" w:hanging="0"/>
        <w:jc w:val="both"/>
        <w:rPr/>
      </w:pPr>
      <w:r>
        <w:rPr/>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Tahom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214-</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2</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214-</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2</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06"/>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Cambria"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cs="Times New Roman"/>
      <w:b/>
      <w:bCs/>
      <w:kern w:val="2"/>
      <w:sz w:val="32"/>
      <w:szCs w:val="32"/>
    </w:rPr>
  </w:style>
  <w:style w:type="character" w:styleId="InitialStyle">
    <w:name w:val="InitialStyle"/>
    <w:qFormat/>
    <w:rPr/>
  </w:style>
  <w:style w:type="character" w:styleId="42">
    <w:name w:val="42"/>
    <w:qFormat/>
    <w:rPr/>
  </w:style>
  <w:style w:type="character" w:styleId="BodyText2Char">
    <w:name w:val="Body Text 2 Char"/>
    <w:basedOn w:val="DefaultParagraphFont"/>
    <w:qFormat/>
    <w:rPr>
      <w:rFonts w:ascii="Fixedsys" w:hAnsi="Fixedsys" w:cs="Fixedsys"/>
      <w:sz w:val="20"/>
      <w:szCs w:val="20"/>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jc w:val="start"/>
      <w:textAlignment w:val="auto"/>
    </w:pPr>
    <w:rPr>
      <w:rFonts w:ascii="Times New Roman" w:hAnsi="Times New Roman" w:eastAsia="Cambria"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Cambria"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Cambria" w:cs="Fixedsys"/>
      <w:b/>
      <w:bCs/>
      <w:color w:val="auto"/>
      <w:kern w:val="2"/>
      <w:sz w:val="24"/>
      <w:szCs w:val="24"/>
      <w:lang w:val="en-US" w:eastAsia="en-US" w:bidi="ar-SA"/>
    </w:rPr>
  </w:style>
  <w:style w:type="paragraph" w:styleId="Outline2">
    <w:name w:val="Outline 2"/>
    <w:qFormat/>
    <w:pPr>
      <w:widowControl w:val="false"/>
      <w:bidi w:val="0"/>
      <w:spacing w:lineRule="atLeast" w:line="240"/>
      <w:ind w:start="1440" w:hanging="0"/>
      <w:jc w:val="start"/>
      <w:textAlignment w:val="auto"/>
    </w:pPr>
    <w:rPr>
      <w:rFonts w:ascii="Fixedsys" w:hAnsi="Fixedsys" w:eastAsia="Cambria" w:cs="Fixedsys"/>
      <w:color w:val="auto"/>
      <w:kern w:val="2"/>
      <w:sz w:val="24"/>
      <w:szCs w:val="24"/>
      <w:lang w:val="en-US" w:eastAsia="en-US" w:bidi="ar-SA"/>
    </w:rPr>
  </w:style>
  <w:style w:type="paragraph" w:styleId="Outline3">
    <w:name w:val="Outline 3"/>
    <w:qFormat/>
    <w:pPr>
      <w:widowControl w:val="false"/>
      <w:bidi w:val="0"/>
      <w:spacing w:lineRule="atLeast" w:line="240"/>
      <w:ind w:start="2160" w:hanging="0"/>
      <w:jc w:val="start"/>
      <w:textAlignment w:val="auto"/>
    </w:pPr>
    <w:rPr>
      <w:rFonts w:ascii="Fixedsys" w:hAnsi="Fixedsys" w:eastAsia="Cambria" w:cs="Fixedsys"/>
      <w:color w:val="auto"/>
      <w:kern w:val="2"/>
      <w:sz w:val="24"/>
      <w:szCs w:val="24"/>
      <w:lang w:val="en-US" w:eastAsia="en-US" w:bidi="ar-SA"/>
    </w:rPr>
  </w:style>
  <w:style w:type="paragraph" w:styleId="Outline4">
    <w:name w:val="Outline 4"/>
    <w:qFormat/>
    <w:pPr>
      <w:widowControl w:val="false"/>
      <w:bidi w:val="0"/>
      <w:spacing w:lineRule="atLeast" w:line="240"/>
      <w:ind w:start="2880" w:hanging="0"/>
      <w:jc w:val="start"/>
      <w:textAlignment w:val="auto"/>
    </w:pPr>
    <w:rPr>
      <w:rFonts w:ascii="Fixedsys" w:hAnsi="Fixedsys" w:eastAsia="Cambria" w:cs="Fixedsys"/>
      <w:color w:val="auto"/>
      <w:kern w:val="2"/>
      <w:sz w:val="24"/>
      <w:szCs w:val="24"/>
      <w:lang w:val="en-US" w:eastAsia="en-US" w:bidi="ar-SA"/>
    </w:rPr>
  </w:style>
  <w:style w:type="paragraph" w:styleId="Outline5">
    <w:name w:val="Outline 5"/>
    <w:qFormat/>
    <w:pPr>
      <w:widowControl w:val="false"/>
      <w:bidi w:val="0"/>
      <w:spacing w:lineRule="atLeast" w:line="240"/>
      <w:ind w:start="3600" w:hanging="0"/>
      <w:jc w:val="start"/>
      <w:textAlignment w:val="auto"/>
    </w:pPr>
    <w:rPr>
      <w:rFonts w:ascii="Fixedsys" w:hAnsi="Fixedsys" w:eastAsia="Cambria"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Cambria"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Cambria"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Cambria" w:cs="Fixedsys"/>
      <w:color w:val="auto"/>
      <w:kern w:val="2"/>
      <w:sz w:val="24"/>
      <w:szCs w:val="24"/>
      <w:lang w:val="en-US" w:eastAsia="en-US" w:bidi="ar-SA"/>
    </w:rPr>
  </w:style>
  <w:style w:type="paragraph" w:styleId="114">
    <w:name w:val="114"/>
    <w:qFormat/>
    <w:pPr>
      <w:widowControl w:val="false"/>
      <w:bidi w:val="0"/>
      <w:spacing w:lineRule="atLeast" w:line="240"/>
      <w:ind w:start="720" w:hanging="0"/>
      <w:jc w:val="start"/>
      <w:textAlignment w:val="auto"/>
    </w:pPr>
    <w:rPr>
      <w:rFonts w:ascii="Fixedsys" w:hAnsi="Fixedsys" w:eastAsia="Cambria" w:cs="Fixedsys"/>
      <w:color w:val="auto"/>
      <w:kern w:val="2"/>
      <w:sz w:val="24"/>
      <w:szCs w:val="24"/>
      <w:lang w:val="en-US" w:eastAsia="en-US" w:bidi="ar-SA"/>
    </w:rPr>
  </w:style>
  <w:style w:type="paragraph" w:styleId="BodyText2">
    <w:name w:val="Body Text 2"/>
    <w:basedOn w:val="Normal"/>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start="720" w:hanging="0"/>
      <w:jc w:val="both"/>
      <w:textAlignment w:val="auto"/>
    </w:pPr>
    <w:rPr>
      <w:rFonts w:ascii="Fixedsys" w:hAnsi="Fixedsys" w:cs="Fixedsys"/>
      <w:sz w:val="20"/>
      <w:szCs w:val="20"/>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BalloonText">
    <w:name w:val="Balloon Text"/>
    <w:basedOn w:val="Normal"/>
    <w:qFormat/>
    <w:pPr>
      <w:widowControl w:val="false"/>
      <w:jc w:val="start"/>
      <w:textAlignment w:val="auto"/>
    </w:pPr>
    <w:rPr>
      <w:rFonts w:ascii="Tahoma" w:hAnsi="Tahoma" w:cs="Tahoma"/>
      <w:sz w:val="16"/>
      <w:szCs w:val="16"/>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481</Words>
  <Characters>3219</Characters>
  <CharactersWithSpaces>2744</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2012-04-05T08:18:00Z</dcterms:created>
  <dc:creator>shonetschlager</dc:creator>
  <dc:description/>
  <dc:language>en-US</dc:language>
  <cp:lastModifiedBy/>
  <cp:lastPrinted>2005-11-09T08:48:00Z</cp:lastPrinted>
  <dcterms:modified xsi:type="dcterms:W3CDTF">2012-04-05T08:18:00Z</dcterms:modified>
  <cp:revision>2</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Sandy.Lemcke</vt:lpwstr>
  </property>
</Properties>
</file>