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start="0" w:end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Adopted: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Sept. 8, 2003       </w:t>
      </w:r>
      <w:r>
        <w:rPr>
          <w:i/>
          <w:iCs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MSBA/MASA Model Policy 213</w:t>
      </w:r>
    </w:p>
    <w:p>
      <w:pPr>
        <w:pStyle w:val="Heading1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Orig. 1996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start="0" w:end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Revised: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                             </w:t>
      </w:r>
      <w:r>
        <w:rPr>
          <w:rFonts w:cs="Times New Roman" w:ascii="Times New Roman" w:hAnsi="Times New Roman"/>
          <w:i/>
          <w:iCs/>
          <w:sz w:val="24"/>
          <w:szCs w:val="24"/>
        </w:rPr>
        <w:tab/>
        <w:t>Rev. 2007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213</w:t>
        <w:tab/>
        <w:t>SCHOOL BOARD COMMITTEES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  <w:tab/>
        <w:t>PURPOSE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The purpose of this policy is to provide for the structure and the operation of committees or subcommittees of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  <w:tab/>
        <w:t>GENERAL STATEMENT OF POLICY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A.</w:t>
        <w:tab/>
        <w:t>It is the policy of the school board to designate school board committees or subcommittees when it is determined that a committee process facilitates the mission of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B.</w:t>
        <w:tab/>
        <w:t>The school board has determined that certain permanent standing committees, as described in this policy, do facilitate the operation of the school board and the school district.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</w:t>
        <w:tab/>
        <w:t>A school board committee or subcommittee will be formed by school board resolution which shall outline the duties and purpose of the committee or subcommittee.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D.</w:t>
        <w:tab/>
        <w:t>A committee or subcommittee is advisory in nature and has only such authority as specified by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E.</w:t>
        <w:tab/>
        <w:t>The school board will receive reports or recommendations from a committee or subcommittee for consideration.  The school board, however, retains the right and has the duty to make all final decisions related to such reports or recommendations.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F.</w:t>
        <w:tab/>
        <w:t>The school board also may establish such ad hoc committees for specific purposes as it deems appropriate.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G.</w:t>
        <w:tab/>
        <w:t>The school board reserves the right to limit, create or abolish any standing or ad hoc committee as it deems appropriate.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H.</w:t>
        <w:tab/>
        <w:t>A committee of the school board shall not appoint a subcommittee of that committee without approval of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III.</w:t>
        <w:tab/>
        <w:t>APPOINTMENT OF COMMITTEES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A.</w:t>
        <w:tab/>
        <w:t>The school board hereby appoints the following standing committees: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</w:t>
        <w:tab/>
        <w:t>Board Member Liaison: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1.1</w:t>
        <w:tab/>
        <w:t>Technology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1.2</w:t>
        <w:tab/>
        <w:t>PER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1.3</w:t>
        <w:tab/>
        <w:t>BRIC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1.4</w:t>
        <w:tab/>
        <w:t>NCVCC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1.5</w:t>
        <w:tab/>
        <w:t>MSHSL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1.6 </w:t>
        <w:tab/>
        <w:t>Staff Development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1.7</w:t>
        <w:tab/>
        <w:t>Community Education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1.8</w:t>
        <w:tab/>
        <w:t>Student Affairs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1.9</w:t>
        <w:tab/>
        <w:t xml:space="preserve">District Interview Team 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</w:t>
        <w:tab/>
        <w:t>Meet and Confer Liaison: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2.1</w:t>
        <w:tab/>
        <w:t>Policy Review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2.2</w:t>
        <w:tab/>
        <w:t>and Teachers &amp; Other Matters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</w:t>
        <w:tab/>
        <w:t>Finance/Budget/Audit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District Properties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Negotiations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Superintendent’s Evaluation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Transportation Committee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B.</w:t>
        <w:tab/>
        <w:t>The school board will establish, by resolution, for each standing or ad hoc committee the number of members, the term and the charge or mission of each such committee.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</w:t>
        <w:tab/>
        <w:t>The school board chair shall appoint the members of each standing or ad hoc committee and designate the chair thereof.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IV.</w:t>
        <w:tab/>
        <w:t>PROCEDURES FOR SCHOOL BOARD COMMITTEES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A.</w:t>
        <w:tab/>
        <w:t>All meetings of committees or subcommittees shall be open to the public in compliance with the Open Meeting Law, and notice shall be given as prescribed by law.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B.</w:t>
        <w:tab/>
        <w:t>A committee or subcommittee shall act only within the guidelines and mission established for that committee or subcommittee by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</w:t>
        <w:tab/>
        <w:t>Actions of a committee or subcommittee shall be by majority vote and be consistent with the governing rules of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D.</w:t>
        <w:tab/>
        <w:t>The committee or subcommittee shall designate a secretary who will record the minutes of actions of the school board committee.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E.</w:t>
        <w:tab/>
        <w:t>The power of a committee or subcommittee of the school board is advisory only and is limited to making  recommendations to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F.</w:t>
        <w:tab/>
        <w:t>A committee or subcommittee of the school board shall, when appropriate, clarify in any dealings with the public that its powers are only advisory to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Legal References:</w:t>
      </w:r>
      <w:r>
        <w:rPr>
          <w:rFonts w:cs="Times New Roman" w:ascii="Times New Roman" w:hAnsi="Times New Roman"/>
          <w:sz w:val="24"/>
          <w:szCs w:val="24"/>
        </w:rPr>
        <w:tab/>
        <w:t>Minn. Stat. Ch. 13D (Open Meeting Law)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Cross References:</w:t>
      </w:r>
      <w:r>
        <w:rPr>
          <w:rFonts w:cs="Times New Roman" w:ascii="Times New Roman" w:hAnsi="Times New Roman"/>
          <w:sz w:val="24"/>
          <w:szCs w:val="24"/>
        </w:rPr>
        <w:tab/>
        <w:t>MSBA/MASA Model Policy 201 (Legal Status of the School Board)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MSBA/MASA Model Policy 203 (Operation of the School Board – Governing Rules)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MSBA Service Manual, Chapter 13, School Law Bulletin “C” (Minnesota’s Open Meeting Law)</w:t>
      </w:r>
    </w:p>
    <w:sectPr>
      <w:footerReference w:type="default" r:id="rId2"/>
      <w:type w:val="nextPage"/>
      <w:pgSz w:w="12240" w:h="15840"/>
      <w:pgMar w:left="1440" w:right="1440" w:header="0" w:top="1440" w:footer="720" w:bottom="10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Fixedsys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ourier">
    <w:altName w:val="Courier New"/>
    <w:charset w:val="00" w:characterSet="iso-8859-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tabs>
        <w:tab w:val="center" w:pos="4320" w:leader="none"/>
        <w:tab w:val="right" w:pos="8640" w:leader="none"/>
      </w:tabs>
      <w:bidi w:val="0"/>
      <w:ind w:start="0" w:end="0" w:hanging="0"/>
      <w:jc w:val="start"/>
      <w:textAlignment w:val="auto"/>
      <w:rPr>
        <w:rFonts w:ascii="Fixedsys" w:hAnsi="Fixedsys" w:cs="Fixedsys"/>
        <w:sz w:val="20"/>
        <w:szCs w:val="20"/>
        <w:lang w:val="en-US" w:eastAsia="en-US" w:bidi="ar-SA"/>
      </w:rPr>
    </w:pPr>
    <w:r>
      <w:rPr>
        <w:rFonts w:cs="Fixedsys"/>
        <w:sz w:val="20"/>
        <w:szCs w:val="20"/>
        <w:lang w:val="en-US" w:eastAsia="en-US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 w:val="false"/>
                            <w:pBdr/>
                            <w:tabs>
                              <w:tab w:val="center" w:pos="4320" w:leader="none"/>
                              <w:tab w:val="right" w:pos="8640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t>213-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05pt;height:13.8pt;mso-wrap-distance-left:0pt;mso-wrap-distance-right:0pt;mso-wrap-distance-top:0pt;mso-wrap-distance-bottom:0pt;margin-top:0pt;mso-position-vertical-relative:text;margin-left:22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 w:val="false"/>
                      <w:pBdr/>
                      <w:tabs>
                        <w:tab w:val="center" w:pos="4320" w:leader="none"/>
                        <w:tab w:val="right" w:pos="8640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t>213-</w:t>
                    </w: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t>3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start"/>
      <w:pPr>
        <w:tabs>
          <w:tab w:val="num" w:pos="2160"/>
        </w:tabs>
        <w:ind w:start="2160" w:hanging="72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2520"/>
        </w:tabs>
        <w:ind w:start="252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3240"/>
        </w:tabs>
        <w:ind w:start="3240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3960"/>
        </w:tabs>
        <w:ind w:start="396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4680"/>
        </w:tabs>
        <w:ind w:start="468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5400"/>
        </w:tabs>
        <w:ind w:start="5400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6120"/>
        </w:tabs>
        <w:ind w:start="612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6840"/>
        </w:tabs>
        <w:ind w:start="684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7560"/>
        </w:tabs>
        <w:ind w:start="75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Fixedsys" w:hAnsi="Fixedsys" w:eastAsia="Fixedsys" w:cs="Fixedsys"/>
      <w:color w:val="auto"/>
      <w:kern w:val="2"/>
      <w:sz w:val="20"/>
      <w:szCs w:val="20"/>
      <w:lang w:val="en-US" w:eastAsia="en-US" w:bidi="ar-SA"/>
    </w:rPr>
  </w:style>
  <w:style w:type="paragraph" w:styleId="Heading1">
    <w:name w:val="Heading 1"/>
    <w:basedOn w:val="Normal"/>
    <w:qFormat/>
    <w:pPr>
      <w:keepNext w:val="true"/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righ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spacing w:lineRule="atLeast" w:line="240"/>
      <w:jc w:val="end"/>
      <w:textAlignment w:val="auto"/>
      <w:outlineLvl w:val="0"/>
    </w:pPr>
    <w:rPr>
      <w:rFonts w:ascii="Fixedsys" w:hAnsi="Fixedsys" w:cs="Fixedsys"/>
      <w:i/>
      <w:iCs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itialStyle">
    <w:name w:val="InitialStyle"/>
    <w:qFormat/>
    <w:rPr>
      <w:rFonts w:ascii="Times New Roman" w:hAnsi="Times New Roman"/>
    </w:rPr>
  </w:style>
  <w:style w:type="character" w:styleId="Style31">
    <w:name w:val="Style 3"/>
    <w:qFormat/>
    <w:rPr>
      <w:rFonts w:ascii="Times New Roman" w:hAnsi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jc w:val="start"/>
      <w:textAlignment w:val="auto"/>
    </w:pPr>
    <w:rPr>
      <w:rFonts w:ascii="Times New Roman" w:hAnsi="Times New Roman" w:eastAsia="Fixedsys" w:cs="Times New Roman"/>
      <w:color w:val="auto"/>
      <w:kern w:val="2"/>
      <w:sz w:val="20"/>
      <w:szCs w:val="20"/>
      <w:lang w:val="en-US" w:eastAsia="en-US" w:bidi="hi-IN"/>
    </w:rPr>
  </w:style>
  <w:style w:type="paragraph" w:styleId="WPDefaults">
    <w:name w:val="WP Defaults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bidi w:val="0"/>
      <w:spacing w:lineRule="atLeast" w:line="240"/>
      <w:jc w:val="start"/>
      <w:textAlignment w:val="auto"/>
    </w:pPr>
    <w:rPr>
      <w:rFonts w:ascii="Fixedsys" w:hAnsi="Fixedsys" w:eastAsia="Fixedsys" w:cs="Fixedsys"/>
      <w:color w:val="auto"/>
      <w:kern w:val="2"/>
      <w:sz w:val="24"/>
      <w:szCs w:val="24"/>
      <w:lang w:val="en-US" w:eastAsia="en-US" w:bidi="ar-SA"/>
    </w:rPr>
  </w:style>
  <w:style w:type="paragraph" w:styleId="WPDefaults1">
    <w:name w:val="WP Defaults1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bidi w:val="0"/>
      <w:spacing w:lineRule="atLeast" w:line="240"/>
      <w:jc w:val="start"/>
      <w:textAlignment w:val="auto"/>
    </w:pPr>
    <w:rPr>
      <w:rFonts w:ascii="Courier" w:hAnsi="Courier" w:eastAsia="Fixedsys" w:cs="Courier"/>
      <w:color w:val="auto"/>
      <w:kern w:val="2"/>
      <w:sz w:val="24"/>
      <w:szCs w:val="24"/>
      <w:lang w:val="en-US" w:eastAsia="en-US" w:bidi="ar-SA"/>
    </w:rPr>
  </w:style>
  <w:style w:type="paragraph" w:styleId="Outline1">
    <w:name w:val="Outline 1"/>
    <w:qFormat/>
    <w:pPr>
      <w:widowControl w:val="false"/>
      <w:bidi w:val="0"/>
      <w:spacing w:lineRule="atLeast" w:line="240"/>
      <w:ind w:start="720" w:hanging="0"/>
      <w:jc w:val="start"/>
      <w:textAlignment w:val="auto"/>
    </w:pPr>
    <w:rPr>
      <w:rFonts w:ascii="Fixedsys" w:hAnsi="Fixedsys" w:eastAsia="Fixedsys" w:cs="Fixedsys"/>
      <w:color w:val="auto"/>
      <w:kern w:val="2"/>
      <w:sz w:val="24"/>
      <w:szCs w:val="24"/>
      <w:lang w:val="en-US" w:eastAsia="en-US" w:bidi="ar-SA"/>
    </w:rPr>
  </w:style>
  <w:style w:type="paragraph" w:styleId="Footer">
    <w:name w:val="Footer"/>
    <w:basedOn w:val="Normal"/>
    <w:pPr>
      <w:widowControl w:val="false"/>
      <w:tabs>
        <w:tab w:val="clear" w:pos="720"/>
        <w:tab w:val="center" w:pos="4320" w:leader="none"/>
        <w:tab w:val="right" w:pos="8640" w:leader="none"/>
      </w:tabs>
      <w:jc w:val="start"/>
      <w:textAlignment w:val="auto"/>
    </w:pPr>
    <w:rPr>
      <w:rFonts w:ascii="Fixedsys" w:hAnsi="Fixedsys" w:cs="Fixedsys"/>
      <w:sz w:val="20"/>
      <w:szCs w:val="20"/>
      <w:lang w:val="en-US" w:eastAsia="en-US" w:bidi="ar-SA"/>
    </w:rPr>
  </w:style>
  <w:style w:type="paragraph" w:styleId="Header">
    <w:name w:val="Header"/>
    <w:basedOn w:val="Normal"/>
    <w:pPr>
      <w:widowControl w:val="false"/>
      <w:tabs>
        <w:tab w:val="clear" w:pos="720"/>
        <w:tab w:val="center" w:pos="4320" w:leader="none"/>
        <w:tab w:val="right" w:pos="8640" w:leader="none"/>
      </w:tabs>
      <w:jc w:val="start"/>
      <w:textAlignment w:val="auto"/>
    </w:pPr>
    <w:rPr>
      <w:rFonts w:ascii="Fixedsys" w:hAnsi="Fixedsys" w:cs="Fixedsys"/>
      <w:sz w:val="20"/>
      <w:szCs w:val="20"/>
      <w:lang w:val="en-US" w:eastAsia="en-US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556</Words>
  <Characters>3719</Characters>
  <CharactersWithSpaces>3170</CharactersWithSpaces>
  <Company>Minnesota School Boards Association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2013-04-19T15:48:00Z</dcterms:created>
  <dc:creator>shonetschlager</dc:creator>
  <dc:description/>
  <dc:language>en-US</dc:language>
  <cp:lastModifiedBy/>
  <dcterms:modified xsi:type="dcterms:W3CDTF">2013-04-19T15:48:00Z</dcterms:modified>
  <cp:revision>2</cp:revision>
  <dc:subject/>
  <dc:title>Adopted: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Minnesota School Boards Association</vt:lpwstr>
  </property>
  <property fmtid="{D5CDD505-2E9C-101B-9397-08002B2CF9AE}" pid="3" name="Operator">
    <vt:lpwstr>Sandy.Lemcke</vt:lpwstr>
  </property>
</Properties>
</file>