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401</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401</w:t>
        <w:tab/>
        <w:t>EQUAL EMPLOYMENT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b/>
          <w:bCs/>
          <w:i/>
          <w:iCs/>
          <w:sz w:val="24"/>
          <w:szCs w:val="24"/>
        </w:rPr>
        <w:t>[Note: School districts are not required by statute to have a policy addressing these issues. However, the Equal Employment Opportunity Commission strongly encourages the adoption of a policy and will look for such a policy during accreditation visits, audits, or investigations.]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provide equal employment opportunity for all applicants for school district employment and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policy of the school district is to provide equal employment opportunity for all applicants and employees.  The school district does not unlawfully discriminate on the basis of race, color, creed, religion, national origin, sex, marital status, status with regard to public assistance, disability, sexual orientation, age, family care leave status, or veteran status. The school district also makes reasonable accommodations for disabled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prohibits the harassment of any individual for any of the categories listed above.  For information about the types of conduct that constitute impermissible harassment and the school district’s internal procedures for addressing complaints of harassment, please refer to the school district’s policy on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This policy applies to all areas of employment including hiring, discharge, promotion, compensation, facilities, or privileges of employment.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It is the responsibility of every school district employee to follow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Any person having a question regarding this policy should discuss it with ___________________________  (specify, e.g., the Personnel Manager).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29 U.S.C. § 621 </w:t>
      </w:r>
      <w:r>
        <w:rPr>
          <w:rFonts w:cs="Times New Roman" w:ascii="Times New Roman" w:hAnsi="Times New Roman"/>
          <w:i/>
          <w:iCs/>
          <w:sz w:val="24"/>
          <w:szCs w:val="24"/>
        </w:rPr>
        <w:t>et seq.</w:t>
      </w:r>
      <w:r>
        <w:rPr>
          <w:rFonts w:cs="Times New Roman" w:ascii="Times New Roman" w:hAnsi="Times New Roman"/>
          <w:sz w:val="24"/>
          <w:szCs w:val="24"/>
        </w:rPr>
        <w:t xml:space="preserve"> (Age Discrimination in Employment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29 U.S.C. § 2615 (Family and Medical Leave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38 U.S.C. § 4211 </w:t>
      </w:r>
      <w:r>
        <w:rPr>
          <w:rFonts w:cs="Times New Roman" w:ascii="Times New Roman" w:hAnsi="Times New Roman"/>
          <w:i/>
          <w:iCs/>
          <w:sz w:val="24"/>
          <w:szCs w:val="24"/>
        </w:rPr>
        <w:t>et seq.</w:t>
      </w:r>
      <w:r>
        <w:rPr>
          <w:rFonts w:cs="Times New Roman" w:ascii="Times New Roman" w:hAnsi="Times New Roman"/>
          <w:sz w:val="24"/>
          <w:szCs w:val="24"/>
        </w:rPr>
        <w:t xml:space="preserve"> (Employment and Training of Veterans)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38 U.S.C. § 4301 </w:t>
      </w:r>
      <w:r>
        <w:rPr>
          <w:rFonts w:cs="Times New Roman" w:ascii="Times New Roman" w:hAnsi="Times New Roman"/>
          <w:i/>
          <w:iCs/>
          <w:sz w:val="24"/>
          <w:szCs w:val="24"/>
        </w:rPr>
        <w:t>et seq.</w:t>
      </w:r>
      <w:r>
        <w:rPr>
          <w:rFonts w:cs="Times New Roman" w:ascii="Times New Roman" w:hAnsi="Times New Roman"/>
          <w:sz w:val="24"/>
          <w:szCs w:val="24"/>
        </w:rPr>
        <w:t xml:space="preserve"> (Employment and Reemployment Rights of Members of the Uniformed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42 U.S.C. § 2000e </w:t>
      </w:r>
      <w:r>
        <w:rPr>
          <w:rFonts w:cs="Times New Roman" w:ascii="Times New Roman" w:hAnsi="Times New Roman"/>
          <w:i/>
          <w:iCs/>
          <w:sz w:val="24"/>
          <w:szCs w:val="24"/>
        </w:rPr>
        <w:t>et seq.</w:t>
      </w:r>
      <w:r>
        <w:rPr>
          <w:rFonts w:cs="Times New Roman" w:ascii="Times New Roman" w:hAnsi="Times New Roman"/>
          <w:sz w:val="24"/>
          <w:szCs w:val="24"/>
        </w:rPr>
        <w:t xml:space="preserve"> (Title VII of the Civil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42 U.S.C. § 12101 </w:t>
      </w:r>
      <w:r>
        <w:rPr>
          <w:rFonts w:cs="Times New Roman" w:ascii="Times New Roman" w:hAnsi="Times New Roman"/>
          <w:i/>
          <w:iCs/>
          <w:sz w:val="24"/>
          <w:szCs w:val="24"/>
        </w:rPr>
        <w:t>et seq.</w:t>
      </w:r>
      <w:r>
        <w:rPr>
          <w:rFonts w:cs="Times New Roman" w:ascii="Times New Roman" w:hAnsi="Times New Roman"/>
          <w:sz w:val="24"/>
          <w:szCs w:val="24"/>
        </w:rPr>
        <w:t xml:space="preserve"> (Equal Opportunity for Individuals with Disabilities)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402 (Disability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405 (Veteran’s Preference)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413 (Harassment and Violence)</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372</Words>
  <Characters>2490</Characters>
  <CharactersWithSpaces>2122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2012-04-05T08:22:00Z</dcterms:created>
  <dc:creator>shonetschlager</dc:creator>
  <dc:description/>
  <dc:language>en-US</dc:language>
  <cp:lastModifiedBy/>
  <cp:lastPrinted>2009-07-30T10:02:00Z</cp:lastPrinted>
  <dcterms:modified xsi:type="dcterms:W3CDTF">2012-04-05T08:22:00Z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