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i/>
          <w:iCs/>
        </w:rPr>
        <w:t>Adopted:</w:t>
      </w:r>
      <w:r>
        <w:rPr>
          <w:i/>
          <w:iCs/>
          <w:u w:val="single"/>
        </w:rPr>
        <w:t xml:space="preserve">  March 9, 2009     </w:t>
      </w:r>
      <w:r>
        <w:rPr>
          <w:i/>
          <w:iCs/>
        </w:rPr>
        <w:tab/>
        <w:t>MSBA/MASA Model Policy 526</w:t>
      </w:r>
    </w:p>
    <w:p>
      <w:pPr>
        <w:pStyle w:val="Heading1"/>
        <w:bidi w:val="0"/>
        <w:spacing w:lineRule="atLeast" w:line="240"/>
        <w:ind w:left="0" w:right="0" w:hanging="0"/>
        <w:rPr/>
      </w:pPr>
      <w:r>
        <w:rPr>
          <w:rFonts w:cs="Times New Roman" w:ascii="Times New Roman" w:hAnsi="Times New Roman"/>
          <w:sz w:val="24"/>
          <w:szCs w:val="24"/>
        </w:rPr>
        <w:t>Orig. 1997</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i/>
          <w:iCs/>
        </w:rPr>
        <w:t>Revised:</w:t>
      </w:r>
      <w:r>
        <w:rPr>
          <w:i/>
          <w:iCs/>
          <w:u w:val="single"/>
        </w:rPr>
        <w:t xml:space="preserve">  November 9, 2015 </w:t>
      </w:r>
      <w:r>
        <w:rPr>
          <w:i/>
          <w:iCs/>
        </w:rPr>
        <w:tab/>
        <w:t>Rev. 2014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526</w:t>
        <w:tab/>
        <w:t>HAZING PROHIBITION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t xml:space="preserve">The purpose of this policy is to maintain a safe learning environment for students and staff that is free from hazing.  Hazing activities of any type are inconsistent with the educational goals of the school district and are prohibited at all times.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A.</w:t>
        <w:tab/>
        <w:t>No student, teacher, administrator, volunteer, contractor, or other employee of the school district shall plan, direct, encourage, aid, or engage in hazing.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B.</w:t>
        <w:tab/>
        <w:t>No teacher, administrator, volunteer, contractor, or other employee of the school district shall permit, condone, or tolerate hazing.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C.</w:t>
        <w:tab/>
        <w:t>Apparent permission or consent by a person being hazed does not lessen the prohibitions contained in this policy.</w:t>
      </w:r>
    </w:p>
    <w:p>
      <w:pPr>
        <w:pStyle w:val="Normal"/>
        <w:widowControl/>
        <w:bidi w:val="0"/>
        <w:ind w:left="0" w:right="0" w:hanging="0"/>
        <w:jc w:val="both"/>
        <w:rPr/>
      </w:pPr>
      <w:r>
        <w:rPr/>
        <w:fldChar w:fldCharType="begin"/>
      </w:r>
      <w:r>
        <w:rPr/>
        <w:instrText> SEQ CHAPTER \* ARABIC </w:instrText>
      </w:r>
      <w:r>
        <w:rPr/>
        <w:fldChar w:fldCharType="separate"/>
      </w:r>
      <w:r>
        <w:rPr/>
        <w:t>1</w:t>
      </w:r>
      <w:r>
        <w:rPr/>
        <w:fldChar w:fldCharType="end"/>
      </w:r>
    </w:p>
    <w:p>
      <w:pPr>
        <w:pStyle w:val="Normal"/>
        <w:widowControl/>
        <w:tabs>
          <w:tab w:val="left" w:pos="720" w:leader="none"/>
          <w:tab w:val="left" w:pos="1440" w:leader="none"/>
        </w:tabs>
        <w:bidi w:val="0"/>
        <w:ind w:left="1440" w:right="0" w:hanging="720"/>
        <w:jc w:val="both"/>
        <w:rPr/>
      </w:pPr>
      <w:r>
        <w:rPr/>
        <w:t>D.</w:t>
        <w:tab/>
        <w:t>Retaliation against a victim, good faith reporter, or a witness of hazing is prohibited.</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E.</w:t>
        <w:tab/>
        <w:t>False accusations or reports of hazing against a student, teacher, administrator, volunteer, contractor, or other employee are prohibited.</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F.</w:t>
        <w:tab/>
        <w:t>A person who engages in an act of hazing, reprisal, retaliation, or false reporting of hazing or permits, condones, or tolerates hazing shall be subject to discipline or other remedial responses for that act in accordance with the school district’s policies and procedures.</w:t>
      </w:r>
    </w:p>
    <w:p>
      <w:pPr>
        <w:pStyle w:val="Normal"/>
        <w:widowControl/>
        <w:bidi w:val="0"/>
        <w:ind w:left="0" w:right="0" w:hanging="0"/>
        <w:jc w:val="both"/>
        <w:rPr>
          <w:rFonts w:ascii="Times New Roman" w:hAnsi="Times New Roman"/>
        </w:rPr>
      </w:pPr>
      <w:r>
        <w:rPr/>
      </w:r>
    </w:p>
    <w:p>
      <w:pPr>
        <w:pStyle w:val="Normal"/>
        <w:widowControl/>
        <w:bidi w:val="0"/>
        <w:ind w:left="1440" w:right="0" w:hanging="0"/>
        <w:jc w:val="both"/>
        <w:rPr/>
      </w:pPr>
      <w:r>
        <w:rPr/>
        <w:t>Consequences for students who commit, tolerate, or are a party to prohibited acts of hazing may range from remedial responses or positive behavioral interventions up to and including suspension and/or expulsion.</w:t>
      </w:r>
    </w:p>
    <w:p>
      <w:pPr>
        <w:pStyle w:val="Normal"/>
        <w:widowControl/>
        <w:bidi w:val="0"/>
        <w:ind w:left="0" w:right="0" w:hanging="0"/>
        <w:jc w:val="both"/>
        <w:rPr>
          <w:rFonts w:ascii="Times New Roman" w:hAnsi="Times New Roman"/>
        </w:rPr>
      </w:pPr>
      <w:r>
        <w:rPr/>
      </w:r>
    </w:p>
    <w:p>
      <w:pPr>
        <w:pStyle w:val="Normal"/>
        <w:widowControl/>
        <w:bidi w:val="0"/>
        <w:ind w:left="1440" w:right="0" w:hanging="0"/>
        <w:jc w:val="both"/>
        <w:rPr/>
      </w:pPr>
      <w:r>
        <w:rPr/>
        <w:t>Consequences for employees who permit, condone, or tolerate hazing or engage in an act of reprisal or intentional false reporting of hazing may result in disciplinary action up to and including termination or discharge.</w:t>
      </w:r>
    </w:p>
    <w:p>
      <w:pPr>
        <w:pStyle w:val="Normal"/>
        <w:widowControl/>
        <w:bidi w:val="0"/>
        <w:ind w:left="0" w:right="0" w:hanging="0"/>
        <w:jc w:val="both"/>
        <w:rPr>
          <w:rFonts w:ascii="Times New Roman" w:hAnsi="Times New Roman"/>
        </w:rPr>
      </w:pPr>
      <w:r>
        <w:rPr/>
      </w:r>
    </w:p>
    <w:p>
      <w:pPr>
        <w:pStyle w:val="Normal"/>
        <w:widowControl/>
        <w:bidi w:val="0"/>
        <w:ind w:left="1440" w:right="0" w:hanging="0"/>
        <w:jc w:val="both"/>
        <w:rPr/>
      </w:pPr>
      <w:r>
        <w:rPr/>
        <w:t>Consequences for other individuals engaging in prohibited acts of hazing may include, but not be limited to, exclusion from school district property and events and/or termination of services and/or contracts.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G.</w:t>
        <w:tab/>
        <w:t>This policy applies to hazing that occurs during and after school hours, on or off school premises or property, at school functions or activities, or on school transportation.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H.</w:t>
        <w:tab/>
        <w:t>A person who engages in an act that violates school policy or law in order to be initiated into or affiliated with a student organization shall be subject to discipline for that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I.</w:t>
        <w:tab/>
        <w:t>The school district will act to investigate all complaints of hazing and will discipline or take appropriate action against any student, teacher, administrator, volunteer, contractor, or other employee of the school district who is found to have violated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III.</w:t>
        <w:tab/>
        <w:t>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A.</w:t>
        <w:tab/>
        <w:t>“Hazing” means committing an act against a student, or coercing a student into committing an act, that creates a substantial risk of harm to a person, in order for the student to be initiated into or affiliated with a student organization, or for any other school-related purpose.  The term hazing includes, but is not limited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1.</w:t>
        <w:tab/>
        <w:t>Any type of physical brutality such as whipping, beating, striking, branding, electronic shocking, or placing a harmful substance on the body.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2.</w:t>
        <w:tab/>
        <w:t>Any type of physical activity such as sleep deprivation, exposure to weather, confinement in a restricted area, calisthenics, or other activity that subjects the student to an unreasonable risk of harm or that adversely affects the mental or physical health or safety of the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3.</w:t>
        <w:tab/>
        <w:t>Any activity involving the consumption of any alcoholic beverage, drug, tobacco product, or any other food, liquid, or substance that subjects the student to an unreasonable risk of harm or that adversely affects the mental or physical health or safety of the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4.</w:t>
        <w:tab/>
        <w:t>Any activity that intimidates or threatens the student with ostracism, that subjects a student to extreme mental stress, embarrassment, shame, or humiliation, that adversely affects the mental health or dignity of the student or discourages the student from remaining in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t>5.</w:t>
        <w:tab/>
        <w:t>Any activity that causes or requires the student to perform a task that involves violation of state or federal law or of school district policies or regulations.</w:t>
      </w:r>
    </w:p>
    <w:p>
      <w:pPr>
        <w:pStyle w:val="Normal"/>
        <w:widowControl/>
        <w:tabs>
          <w:tab w:val="left" w:pos="720" w:leader="none"/>
          <w:tab w:val="left" w:pos="1440" w:leader="none"/>
        </w:tabs>
        <w:bidi w:val="0"/>
        <w:ind w:left="1440" w:right="0" w:hanging="720"/>
        <w:jc w:val="both"/>
        <w:rPr>
          <w:rFonts w:ascii="Times New Roman" w:hAnsi="Times New Roman"/>
          <w:lang w:val="en-CA"/>
        </w:rPr>
      </w:pPr>
      <w:r>
        <w:rPr>
          <w:lang w:val="en-CA"/>
        </w:rPr>
      </w:r>
    </w:p>
    <w:p>
      <w:pPr>
        <w:pStyle w:val="Normal"/>
        <w:widowControl/>
        <w:tabs>
          <w:tab w:val="left" w:pos="720" w:leader="none"/>
          <w:tab w:val="left" w:pos="1440" w:leader="none"/>
        </w:tabs>
        <w:bidi w:val="0"/>
        <w:ind w:left="1440" w:right="0" w:hanging="720"/>
        <w:jc w:val="both"/>
        <w:rPr/>
      </w:pPr>
      <w:r>
        <w:rPr/>
        <w:fldChar w:fldCharType="begin"/>
      </w:r>
      <w:r>
        <w:rPr/>
        <w:instrText> SEQ CHAPTER \* ARABIC </w:instrText>
      </w:r>
      <w:r>
        <w:rPr/>
        <w:fldChar w:fldCharType="separate"/>
      </w:r>
      <w:r>
        <w:rPr/>
        <w:t>1</w:t>
      </w:r>
      <w:r>
        <w:rPr/>
        <w:fldChar w:fldCharType="end"/>
      </w:r>
      <w:r>
        <w:rPr/>
        <w:t>B.</w:t>
        <w:tab/>
        <w:t>“Immediately” means as soon as possible but in no event longer than 24 hours.</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C.</w:t>
        <w:tab/>
        <w:t>“On school premises or school district property, or at school functions or activities, or on school transportation” means all school district buildings, school grounds, and school property or property immediately adjacent to school grounds, school bus stops, school buses, school vehicles, school contracted vehicles, or any other vehicles approved for school district purposes, the area of entrance or departure from school grounds, premises, or events, and all school-related functions, school-sponsored activities, events, or trips.  School district property also may mean a student’s walking route to or from school for purposes of attending school or school-related functions, activities, or events.  While prohibiting hazing at these locations and events, the school district does not represent that it will provide supervision or assume liability at these locations and events.</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D.</w:t>
        <w:tab/>
        <w:t>“Remedial response” means a measure to stop and correct hazing, prevent hazing from recurring, and protect, support, and intervene on behalf of a student who is the target or victim of hazing.</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E.</w:t>
        <w:tab/>
        <w:t>“Student” means a student enrolled in a public school or a charter school.</w:t>
      </w:r>
    </w:p>
    <w:p>
      <w:pPr>
        <w:pStyle w:val="Normal"/>
        <w:widowControl/>
        <w:bidi w:val="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F.</w:t>
        <w:tab/>
        <w:t>“Student organization” means a group, club, or organization having students as its primary members or participants.  It includes grade levels, classes, teams, activities, or particular school events.  A student organization does not have to be an official school organization to come within the terms of this definition.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IV.</w:t>
        <w:tab/>
        <w:t>REPORTING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bidi w:val="0"/>
        <w:ind w:left="1440" w:right="0" w:hanging="720"/>
        <w:jc w:val="both"/>
        <w:rPr/>
      </w:pPr>
      <w:r>
        <w:rPr/>
        <w:t>A.</w:t>
        <w:tab/>
        <w:t xml:space="preserve">Any person who believes he or she has been the target or victim of hazing or any person with knowledge or belief of conduct which may constitute hazing shall report the alleged acts immediately to an appropriate school district official designated by this policy.  </w:t>
      </w:r>
      <w:r>
        <w:rPr/>
        <w:fldChar w:fldCharType="begin"/>
      </w:r>
      <w:r>
        <w:rPr/>
        <w:instrText> SEQ CHAPTER \* ARABIC </w:instrText>
      </w:r>
      <w:r>
        <w:rPr/>
        <w:fldChar w:fldCharType="separate"/>
      </w:r>
      <w:r>
        <w:rPr/>
        <w:t>1</w:t>
      </w:r>
      <w:r>
        <w:rPr/>
        <w:fldChar w:fldCharType="end"/>
      </w:r>
      <w:r>
        <w:rPr/>
        <w:t>A person may report hazing anonymously.  However, the school district may not rely solely on an anonymous report to determine discipline or other remedial responses.</w:t>
      </w:r>
    </w:p>
    <w:p>
      <w:pPr>
        <w:pStyle w:val="Normal"/>
        <w:widowControl/>
        <w:bidi w:val="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1440"/>
        <w:jc w:val="both"/>
        <w:rPr/>
      </w:pPr>
      <w:r>
        <w:rPr/>
        <w:tab/>
        <w:t>B.</w:t>
        <w:tab/>
        <w:t>The school district encourages the reporting party to use the report form available from the principal or building supervisor of each building or available from the school district office, but oral reports shall be considered complaints as well.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1440"/>
        <w:jc w:val="both"/>
        <w:rPr/>
      </w:pPr>
      <w:r>
        <w:rPr/>
        <w:tab/>
        <w:tab/>
        <w:t xml:space="preserve">The building principal, the principal’s designee, or the building supervisor (hereinafter the “building report taker”) is the person responsible for receiving reports of hazing at the building level. </w:t>
      </w:r>
      <w:r>
        <w:rPr/>
        <w:fldChar w:fldCharType="begin"/>
      </w:r>
      <w:r>
        <w:rPr/>
        <w:instrText> SEQ CHAPTER \* ARABIC </w:instrText>
      </w:r>
      <w:r>
        <w:rPr/>
        <w:fldChar w:fldCharType="separate"/>
      </w:r>
      <w:r>
        <w:rPr/>
        <w:t>1</w:t>
      </w:r>
      <w:r>
        <w:rPr/>
        <w:fldChar w:fldCharType="end"/>
      </w:r>
      <w:r>
        <w:rPr/>
        <w:t>Any adult school district personnel who receives a report of hazing prohibited by this policy shall inform the building report taker immediately.  Any person may report hazing directly to a school district human rights officer or to the superintendent.  If the complaint involves the building report taker, the complaint shall be made or filed directly with the superintendent or the school district human rights officer by the reporting party or complainant.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1440"/>
        <w:jc w:val="both"/>
        <w:rPr>
          <w:rFonts w:ascii="Times New Roman" w:hAnsi="Times New Roman"/>
        </w:rPr>
      </w:pPr>
      <w:r>
        <w:rPr/>
      </w:r>
    </w:p>
    <w:p>
      <w:pPr>
        <w:pStyle w:val="Normal"/>
        <w:widowControl/>
        <w:bidi w:val="0"/>
        <w:ind w:left="1440" w:right="0" w:hanging="0"/>
        <w:jc w:val="both"/>
        <w:rPr/>
      </w:pPr>
      <w:r>
        <w:rPr/>
        <w:fldChar w:fldCharType="begin"/>
      </w:r>
      <w:r>
        <w:rPr/>
        <w:instrText> SEQ CHAPTER \* ARABIC </w:instrText>
      </w:r>
      <w:r>
        <w:rPr/>
        <w:fldChar w:fldCharType="separate"/>
      </w:r>
      <w:r>
        <w:rPr/>
        <w:t>1</w:t>
      </w:r>
      <w:r>
        <w:rPr/>
        <w:fldChar w:fldCharType="end"/>
      </w:r>
      <w:r>
        <w:rPr/>
        <w:t>The building report taker shall ensure that this policy and its procedures, practices, consequences, and sanctions are fairly and fully implemented and shall serve as a primary contact on policy and procedural matters.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C.</w:t>
        <w:tab/>
      </w:r>
      <w:r>
        <w:rPr/>
        <w:fldChar w:fldCharType="begin"/>
      </w:r>
      <w:r>
        <w:rPr/>
        <w:instrText> SEQ CHAPTER \* ARABIC </w:instrText>
      </w:r>
      <w:r>
        <w:rPr/>
        <w:fldChar w:fldCharType="separate"/>
      </w:r>
      <w:r>
        <w:rPr/>
        <w:t>1</w:t>
      </w:r>
      <w:r>
        <w:rPr/>
        <w:fldChar w:fldCharType="end"/>
      </w:r>
      <w:r>
        <w:rPr/>
        <w:t>A teacher, administrator, volunteer, contractor, and other school employees shall be particularly alert to possible situations, circumstances, or events which might include hazing.  Any such person who witnesses, observes, receives a report of, or has other knowledge or belief of conduct which may constitute hazing shall make reasonable efforts to address and resolve the hazing and shall inform the building report taker immediately.  School district personnel who fail to inform the building report taker of conduct that may constitute hazing or who fail to make reasonable efforts to address and resolve the hazing in a timely manner may be subject to disciplinary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D.</w:t>
        <w:tab/>
        <w:t>Submission of a good faith complaint or report of hazing will not affect the complainant or reporter’s future employment, grades, work assignments, or educational or work environment.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E.</w:t>
        <w:tab/>
        <w:t xml:space="preserve">Reports of hazing are classified as private educational and/or personnel data and/or confidential investigative data and will not be disclosed except as permitted by law.  </w:t>
      </w:r>
      <w:r>
        <w:rPr/>
        <w:fldChar w:fldCharType="begin"/>
      </w:r>
      <w:r>
        <w:rPr/>
        <w:instrText> SEQ CHAPTER \* ARABIC </w:instrText>
      </w:r>
      <w:r>
        <w:rPr/>
        <w:fldChar w:fldCharType="separate"/>
      </w:r>
      <w:r>
        <w:rPr/>
        <w:t>1</w:t>
      </w:r>
      <w:r>
        <w:rPr/>
        <w:fldChar w:fldCharType="end"/>
      </w:r>
      <w:r>
        <w:rPr/>
        <w:t>The building report taker, in conjunction with the responsible authority, shall be responsible for keeping and regulating access to any report of hazing and the record of any resulting investigation.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F.</w:t>
        <w:tab/>
        <w:t>The school district will respect the privacy of the complainant(s), the individual(s) against whom the complaint is filed, and the witnesses as much as possible, consistent with the school district’s legal obligations to investigate, to take appropriate action, and to comply with any discovery or disclosure obligations.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V.</w:t>
        <w:tab/>
        <w:t>SCHOOL DISTRICT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A.</w:t>
        <w:tab/>
        <w:t>Within three (3) days of the receipt of a complaint or report of hazing, the school district shall undertake or authorize an investigation by school district officials or a third party designated by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B.</w:t>
        <w:tab/>
        <w:t>The building report taker or other appropriate school district officials may take immediate steps, at their discretion, to protect the target or victim of the hazing, the complainant, the reporter, and students or others pending completion of an investigation of alleged hazing prohibited by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fldChar w:fldCharType="begin"/>
      </w:r>
      <w:r>
        <w:rPr/>
        <w:instrText> SEQ CHAPTER \* ARABIC </w:instrText>
      </w:r>
      <w:r>
        <w:rPr/>
        <w:fldChar w:fldCharType="separate"/>
      </w:r>
      <w:r>
        <w:rPr/>
        <w:t>1</w:t>
      </w:r>
      <w:r>
        <w:rPr/>
        <w:fldChar w:fldCharType="end"/>
      </w:r>
      <w:r>
        <w:rPr/>
        <w:t>C.</w:t>
        <w:tab/>
        <w:t>The alleged perpetrator of the hazing shall be allowed the opportunity to present a defense during the investigation or prior to the imposition of discipline or other remedial responses.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D.</w:t>
        <w:tab/>
        <w:t>Upon completion of an investigation that determines hazing has occurred, the school district will take appropriate action.  Such action may include, but is not limited to, warning, suspension, exclusion, expulsion, transfer, remediation, termination, or discharge.  Disciplinary consequences will be sufficiently severe to try to deter violations and to appropriately discipline prohibited behavior.  School district action taken for violation of this policy will be consistent with the requirements of applicable collective bargaining agreements; applicable statutory authority, including the Minnesota Pupil Fair Dismissal Act; and applicable school district policies and regulations.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E.</w:t>
        <w:tab/>
        <w:t xml:space="preserve">The school district is not authorized to disclose to a victim private educational or personnel data regarding an alleged perpetrator who is a student or employee of the school district.  School officials will notify the parent(s) or guardian(s) of students </w:t>
      </w:r>
      <w:r>
        <w:rPr/>
        <w:fldChar w:fldCharType="begin"/>
      </w:r>
      <w:r>
        <w:rPr/>
        <w:instrText> SEQ CHAPTER \* ARABIC </w:instrText>
      </w:r>
      <w:r>
        <w:rPr/>
        <w:fldChar w:fldCharType="separate"/>
      </w:r>
      <w:r>
        <w:rPr/>
        <w:t>1</w:t>
      </w:r>
      <w:r>
        <w:rPr/>
        <w:fldChar w:fldCharType="end"/>
      </w:r>
      <w:r>
        <w:rPr/>
        <w:t>who are targets or victims of hazing and the parent(s) or guardian(s) of alleged perpetrators of hazing who have been involved in a reported and confirmed hazing incident of the remedial or disciplinary action taken, to the extent permitted by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fldChar w:fldCharType="begin"/>
      </w:r>
      <w:r>
        <w:rPr/>
        <w:instrText> SEQ CHAPTER \* ARABIC </w:instrText>
      </w:r>
      <w:r>
        <w:rPr/>
        <w:fldChar w:fldCharType="separate"/>
      </w:r>
      <w:r>
        <w:rPr/>
        <w:t>1</w:t>
      </w:r>
      <w:r>
        <w:rPr/>
        <w:fldChar w:fldCharType="end"/>
      </w:r>
      <w:r>
        <w:rPr/>
        <w:t>F.</w:t>
        <w:tab/>
        <w:t>In order to prevent or to respond to hazing committed by or directed against a child with a disability, the school district shall, where determined appropriate by the child’s individualized education program (IEP) team or Section 504 team, allow the child’s IEP or Section 504 plan to be drafted to address the skills and proficiencies the child needs as a result of the child’s disability to allow the child to respond to or not to engage in hazing.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rFonts w:ascii="Times New Roman" w:hAnsi="Times New Roman"/>
          <w:b/>
          <w:b/>
          <w:bCs/>
        </w:rPr>
      </w:pPr>
      <w:r>
        <w:rPr>
          <w:b/>
          <w:b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VI.</w:t>
        <w:tab/>
        <w:t>RETALIATION OR REPRISAL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t xml:space="preserve">The school district will discipline or take appropriate action against any student, teacher, administrator, volunteer, contractor, or other employee of the school district who commits an act of reprisal or who retaliates against any person who asserts, alleges, or makes a good faith report of alleged hazing, who provides information about hazing, who testifies, assists, or participates in an investigation of alleged hazing, or who testifies, assists, or participates in a proceeding or hearing relating to such hazing.  Retaliation includes, but is not limited to, any form of intimidation, reprisal, harassment, or intentional disparate treatment.  </w:t>
      </w:r>
      <w:r>
        <w:rPr/>
        <w:fldChar w:fldCharType="begin"/>
      </w:r>
      <w:r>
        <w:rPr/>
        <w:instrText> SEQ CHAPTER \* ARABIC </w:instrText>
      </w:r>
      <w:r>
        <w:rPr/>
        <w:fldChar w:fldCharType="separate"/>
      </w:r>
      <w:r>
        <w:rPr/>
        <w:t>1</w:t>
      </w:r>
      <w:r>
        <w:rPr/>
        <w:fldChar w:fldCharType="end"/>
      </w:r>
      <w:r>
        <w:rPr/>
        <w:t>Disciplinary consequences will be sufficiently severe to deter violations and to appropriately discipline the individual(s) who engaged in the prohibited conduct.  Remedial responses to the prohibited conduct shall be tailored to the particular incident and nature of the conduct.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b/>
          <w:bCs/>
        </w:rPr>
        <w:t>VII.</w:t>
        <w:tab/>
        <w:t>DISSEMINATION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A.</w:t>
        <w:tab/>
        <w:t>This policy shall appear in each school’s student handbook and in each school’s building and staff handbooks.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t>B.</w:t>
        <w:tab/>
        <w:t>The school district will develop a method of discussing this policy with students and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2160"/>
        <w:jc w:val="both"/>
        <w:rPr/>
      </w:pPr>
      <w:r>
        <w:rPr>
          <w:b/>
          <w:bCs/>
          <w:i/>
          <w:iCs/>
        </w:rPr>
        <w:t>Legal References:</w:t>
      </w:r>
      <w:r>
        <w:rPr/>
        <w:tab/>
        <w:t>Minn. Stat. § 121A.031 (School Student Bullying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fldChar w:fldCharType="begin"/>
      </w:r>
      <w:r>
        <w:rPr/>
        <w:instrText> SEQ CHAPTER \* ARABIC </w:instrText>
      </w:r>
      <w:r>
        <w:rPr/>
        <w:fldChar w:fldCharType="separate"/>
      </w:r>
      <w:r>
        <w:rPr/>
        <w:t>1</w:t>
      </w:r>
      <w:r>
        <w:rPr/>
        <w:fldChar w:fldCharType="end"/>
      </w:r>
      <w:r>
        <w:rPr/>
        <w:t>Minn. Stat. § 121A.0311 (Notice of the Rights and Responsibilities of Students and Parents Under the Safe and Supportive Minnesota Schools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Minn. Stat. § 121A.40-121A.56 (Pupil Fair Dismissal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Minn. Stat. § 121A.69 (Hazing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2160"/>
        <w:jc w:val="both"/>
        <w:rPr/>
      </w:pPr>
      <w:r>
        <w:rPr>
          <w:b/>
          <w:bCs/>
          <w:i/>
          <w:iCs/>
        </w:rPr>
        <w:t>Cross References:</w:t>
      </w:r>
      <w:r>
        <w:rPr/>
        <w:tab/>
        <w:t>MSBA/MASA Model Policy 403 (Discipline, Suspension, and Dismissal of School District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 xml:space="preserve">MSBA/MASA Model Policy 413 (Harassment and Violence)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506 (Student Discipline)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514 (Bullying Prohibition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t>MSBA/MASA Model Policy 525 (Violence Prevention [Applicable to Students and Staff])</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Cambria">
    <w:charset w:val="00"/>
    <w:family w:val="roman"/>
    <w:pitch w:val="variable"/>
  </w:font>
  <w:font w:name="Liberation Sans">
    <w:altName w:val="Arial"/>
    <w:charset w:val="00"/>
    <w:family w:val="swiss"/>
    <w:pitch w:val="variable"/>
  </w:font>
  <w:font w:name="Courier">
    <w:altName w:val="Courier New"/>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Times New Roman" w:hAnsi="Times New Roman" w:cs="Times New Roman"/>
        <w:sz w:val="20"/>
        <w:szCs w:val="20"/>
        <w:lang w:val="en-US" w:eastAsia="en-US" w:bidi="ar-SA"/>
      </w:rPr>
    </w:pPr>
    <w:r>
      <w:rPr>
        <w:rFonts w:cs="Times New Roman"/>
        <w:sz w:val="20"/>
        <w:szCs w:val="20"/>
        <w:lang w:val="en-US" w:eastAsia="en-US" w:bidi="ar-SA"/>
      </w:rPr>
    </w:r>
    <w:r>
      <mc:AlternateContent>
        <mc:Choice Requires="wps">
          <w:drawing>
            <wp:anchor behindDoc="0" distT="0" distB="0" distL="0" distR="0" simplePos="0" locked="0" layoutInCell="0" allowOverlap="1" relativeHeight="7">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sz w:val="24"/>
                              <w:szCs w:val="24"/>
                              <w:lang w:val="en-US" w:eastAsia="en-US" w:bidi="ar-SA"/>
                            </w:rPr>
                            <w:t>526-</w:t>
                          </w:r>
                          <w:r>
                            <w:rPr>
                              <w:rStyle w:val="Pagenumber"/>
                              <w:rFonts w:cs="Times New Roman"/>
                              <w:sz w:val="24"/>
                              <w:szCs w:val="24"/>
                              <w:lang w:val="en-US" w:eastAsia="en-US" w:bidi="ar-SA"/>
                            </w:rPr>
                            <w:fldChar w:fldCharType="begin"/>
                          </w:r>
                          <w:r>
                            <w:rPr>
                              <w:rStyle w:val="Pagenumber"/>
                              <w:sz w:val="24"/>
                              <w:szCs w:val="24"/>
                              <w:rFonts w:cs="Times New Roman"/>
                              <w:lang w:val="en-US" w:eastAsia="en-US" w:bidi="ar-SA"/>
                            </w:rPr>
                            <w:instrText> PAGE </w:instrText>
                          </w:r>
                          <w:r>
                            <w:rPr>
                              <w:rStyle w:val="Pagenumber"/>
                              <w:sz w:val="24"/>
                              <w:szCs w:val="24"/>
                              <w:rFonts w:cs="Times New Roman"/>
                              <w:lang w:val="en-US" w:eastAsia="en-US" w:bidi="ar-SA"/>
                            </w:rPr>
                            <w:fldChar w:fldCharType="separate"/>
                          </w:r>
                          <w:r>
                            <w:rPr>
                              <w:rStyle w:val="Pagenumber"/>
                              <w:sz w:val="24"/>
                              <w:szCs w:val="24"/>
                              <w:rFonts w:cs="Times New Roman"/>
                              <w:lang w:val="en-US" w:eastAsia="en-US" w:bidi="ar-SA"/>
                            </w:rPr>
                            <w:t>6</w:t>
                          </w:r>
                          <w:r>
                            <w:rPr>
                              <w:rStyle w:val="Pagenumber"/>
                              <w:sz w:val="24"/>
                              <w:szCs w:val="24"/>
                              <w:rFonts w:cs="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sz w:val="24"/>
                        <w:szCs w:val="24"/>
                        <w:lang w:val="en-US" w:eastAsia="en-US" w:bidi="ar-SA"/>
                      </w:rPr>
                      <w:t>526-</w:t>
                    </w:r>
                    <w:r>
                      <w:rPr>
                        <w:rStyle w:val="Pagenumber"/>
                        <w:rFonts w:cs="Times New Roman"/>
                        <w:sz w:val="24"/>
                        <w:szCs w:val="24"/>
                        <w:lang w:val="en-US" w:eastAsia="en-US" w:bidi="ar-SA"/>
                      </w:rPr>
                      <w:fldChar w:fldCharType="begin"/>
                    </w:r>
                    <w:r>
                      <w:rPr>
                        <w:rStyle w:val="Pagenumber"/>
                        <w:sz w:val="24"/>
                        <w:szCs w:val="24"/>
                        <w:rFonts w:cs="Times New Roman"/>
                        <w:lang w:val="en-US" w:eastAsia="en-US" w:bidi="ar-SA"/>
                      </w:rPr>
                      <w:instrText> PAGE </w:instrText>
                    </w:r>
                    <w:r>
                      <w:rPr>
                        <w:rStyle w:val="Pagenumber"/>
                        <w:sz w:val="24"/>
                        <w:szCs w:val="24"/>
                        <w:rFonts w:cs="Times New Roman"/>
                        <w:lang w:val="en-US" w:eastAsia="en-US" w:bidi="ar-SA"/>
                      </w:rPr>
                      <w:fldChar w:fldCharType="separate"/>
                    </w:r>
                    <w:r>
                      <w:rPr>
                        <w:rStyle w:val="Pagenumber"/>
                        <w:sz w:val="24"/>
                        <w:szCs w:val="24"/>
                        <w:rFonts w:cs="Times New Roman"/>
                        <w:lang w:val="en-US" w:eastAsia="en-US" w:bidi="ar-SA"/>
                      </w:rPr>
                      <w:t>6</w:t>
                    </w:r>
                    <w:r>
                      <w:rPr>
                        <w:rStyle w:val="Pagenumber"/>
                        <w:sz w:val="24"/>
                        <w:szCs w:val="24"/>
                        <w:rFonts w:cs="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Times New Roman" w:hAnsi="Times New Roman" w:eastAsia="Cambria Math" w:cs="Times New Roman"/>
      <w:color w:val="auto"/>
      <w:kern w:val="2"/>
      <w:sz w:val="24"/>
      <w:szCs w:val="24"/>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rFonts w:ascii="Fixedsys" w:hAnsi="Fixedsys" w:cs="Fixedsys"/>
      <w:i/>
      <w:iCs/>
      <w:sz w:val="20"/>
      <w:szCs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b/>
      <w:bCs/>
      <w:kern w:val="2"/>
      <w:sz w:val="32"/>
      <w:szCs w:val="32"/>
    </w:rPr>
  </w:style>
  <w:style w:type="character" w:styleId="InitialStyle">
    <w:name w:val="InitialStyle"/>
    <w:qFormat/>
    <w:rPr/>
  </w:style>
  <w:style w:type="character" w:styleId="42">
    <w:name w:val="42"/>
    <w:qFormat/>
    <w:rPr/>
  </w:style>
  <w:style w:type="character" w:styleId="Definition">
    <w:name w:val="Definition"/>
    <w:qFormat/>
    <w:rPr/>
  </w:style>
  <w:style w:type="character" w:styleId="CITE">
    <w:name w:val="CITE"/>
    <w:qFormat/>
    <w:rPr/>
  </w:style>
  <w:style w:type="character" w:styleId="CODE">
    <w:name w:val="CODE"/>
    <w:qFormat/>
    <w:rPr/>
  </w:style>
  <w:style w:type="character" w:styleId="Emphasis">
    <w:name w:val="Emphasis"/>
    <w:basedOn w:val="DefaultParagraphFont"/>
    <w:qFormat/>
    <w:rPr/>
  </w:style>
  <w:style w:type="character" w:styleId="InternetLink">
    <w:name w:val="Hyperlink"/>
    <w:basedOn w:val="DefaultParagraphFont"/>
    <w:rPr/>
  </w:style>
  <w:style w:type="character" w:styleId="FollowedHype">
    <w:name w:val="FollowedHype"/>
    <w:qFormat/>
    <w:rPr/>
  </w:style>
  <w:style w:type="character" w:styleId="Keyboard">
    <w:name w:val="Keyboard"/>
    <w:qFormat/>
    <w:rPr/>
  </w:style>
  <w:style w:type="character" w:styleId="Sample">
    <w:name w:val="Sample"/>
    <w:qFormat/>
    <w:rPr/>
  </w:style>
  <w:style w:type="character" w:styleId="Strong">
    <w:name w:val="Strong"/>
    <w:basedOn w:val="DefaultParagraphFont"/>
    <w:qFormat/>
    <w:rPr/>
  </w:style>
  <w:style w:type="character" w:styleId="Typewriter">
    <w:name w:val="Typewriter"/>
    <w:qFormat/>
    <w:rPr/>
  </w:style>
  <w:style w:type="character" w:styleId="Variable">
    <w:name w:val="Variable"/>
    <w:qFormat/>
    <w:rPr/>
  </w:style>
  <w:style w:type="character" w:styleId="HTMLMarkup">
    <w:name w:val="HTML Markup"/>
    <w:qFormat/>
    <w:rPr/>
  </w:style>
  <w:style w:type="character" w:styleId="Comment">
    <w:name w:val="Comment"/>
    <w:qFormat/>
    <w:rPr/>
  </w:style>
  <w:style w:type="character" w:styleId="FooterChar">
    <w:name w:val="Footer Char"/>
    <w:basedOn w:val="DefaultParagraphFont"/>
    <w:qFormat/>
    <w:rPr/>
  </w:style>
  <w:style w:type="character" w:styleId="Pagenumber">
    <w:name w:val="page number"/>
    <w:basedOn w:val="DefaultParagraphFont"/>
    <w:qFormat/>
    <w:rPr/>
  </w:style>
  <w:style w:type="character" w:styleId="HeaderChar">
    <w:name w:val="Head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76" w:before="0" w:after="200"/>
      <w:jc w:val="left"/>
      <w:textAlignment w:val="auto"/>
    </w:pPr>
    <w:rPr>
      <w:rFonts w:ascii="Times New Roman" w:hAnsi="Times New Roman" w:eastAsia="Cambria Math"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1">
    <w:name w:val="_leve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72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2">
    <w:name w:val="_leve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144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3">
    <w:name w:val="_leve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216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4">
    <w:name w:val="_leve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288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5">
    <w:name w:val="_leve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360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6">
    <w:name w:val="_leve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432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7">
    <w:name w:val="_leve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spacing w:lineRule="atLeast" w:line="240"/>
      <w:ind w:left="504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8">
    <w:name w:val="_level8"/>
    <w:qFormat/>
    <w:pPr>
      <w:widowControl w:val="false"/>
      <w:tabs>
        <w:tab w:val="clear" w:pos="720"/>
        <w:tab w:val="left" w:pos="5760" w:leader="none"/>
        <w:tab w:val="left" w:pos="6480" w:leader="none"/>
        <w:tab w:val="left" w:pos="7200" w:leader="none"/>
        <w:tab w:val="left" w:pos="7920" w:leader="none"/>
        <w:tab w:val="left" w:pos="8640" w:leader="none"/>
      </w:tabs>
      <w:bidi w:val="0"/>
      <w:spacing w:lineRule="atLeast" w:line="240"/>
      <w:ind w:left="576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el9">
    <w:name w:val="_level9"/>
    <w:qFormat/>
    <w:pPr>
      <w:widowControl w:val="false"/>
      <w:tabs>
        <w:tab w:val="clear" w:pos="720"/>
        <w:tab w:val="left" w:pos="6480" w:leader="none"/>
        <w:tab w:val="left" w:pos="7200" w:leader="none"/>
        <w:tab w:val="left" w:pos="7920" w:leader="none"/>
        <w:tab w:val="left" w:pos="8640" w:leader="none"/>
      </w:tabs>
      <w:bidi w:val="0"/>
      <w:spacing w:lineRule="atLeast" w:line="240"/>
      <w:ind w:left="648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1">
    <w:name w:val="_levs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72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2">
    <w:name w:val="_levs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144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3">
    <w:name w:val="_levs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216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4">
    <w:name w:val="_levs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288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5">
    <w:name w:val="_levs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360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6">
    <w:name w:val="_levs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432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7">
    <w:name w:val="_levs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spacing w:lineRule="atLeast" w:line="240"/>
      <w:ind w:left="504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8">
    <w:name w:val="_levsl8"/>
    <w:qFormat/>
    <w:pPr>
      <w:widowControl w:val="false"/>
      <w:tabs>
        <w:tab w:val="clear" w:pos="720"/>
        <w:tab w:val="left" w:pos="5760" w:leader="none"/>
        <w:tab w:val="left" w:pos="6480" w:leader="none"/>
        <w:tab w:val="left" w:pos="7200" w:leader="none"/>
        <w:tab w:val="left" w:pos="7920" w:leader="none"/>
        <w:tab w:val="left" w:pos="8640" w:leader="none"/>
      </w:tabs>
      <w:bidi w:val="0"/>
      <w:spacing w:lineRule="atLeast" w:line="240"/>
      <w:ind w:left="576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sl9">
    <w:name w:val="_levsl9"/>
    <w:qFormat/>
    <w:pPr>
      <w:widowControl w:val="false"/>
      <w:tabs>
        <w:tab w:val="clear" w:pos="720"/>
        <w:tab w:val="left" w:pos="6480" w:leader="none"/>
        <w:tab w:val="left" w:pos="7200" w:leader="none"/>
        <w:tab w:val="left" w:pos="7920" w:leader="none"/>
        <w:tab w:val="left" w:pos="8640" w:leader="none"/>
      </w:tabs>
      <w:bidi w:val="0"/>
      <w:spacing w:lineRule="atLeast" w:line="240"/>
      <w:ind w:left="648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1">
    <w:name w:val="_levn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72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2">
    <w:name w:val="_levn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144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3">
    <w:name w:val="_levn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216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4">
    <w:name w:val="_levn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288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5">
    <w:name w:val="_levn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360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6">
    <w:name w:val="_levn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432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7">
    <w:name w:val="_levn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spacing w:lineRule="atLeast" w:line="240"/>
      <w:ind w:left="504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8">
    <w:name w:val="_levnl8"/>
    <w:qFormat/>
    <w:pPr>
      <w:widowControl w:val="false"/>
      <w:tabs>
        <w:tab w:val="clear" w:pos="720"/>
        <w:tab w:val="left" w:pos="5760" w:leader="none"/>
        <w:tab w:val="left" w:pos="6480" w:leader="none"/>
        <w:tab w:val="left" w:pos="7200" w:leader="none"/>
        <w:tab w:val="left" w:pos="7920" w:leader="none"/>
        <w:tab w:val="left" w:pos="8640" w:leader="none"/>
      </w:tabs>
      <w:bidi w:val="0"/>
      <w:spacing w:lineRule="atLeast" w:line="240"/>
      <w:ind w:left="576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Levnl9">
    <w:name w:val="_levnl9"/>
    <w:qFormat/>
    <w:pPr>
      <w:widowControl w:val="false"/>
      <w:tabs>
        <w:tab w:val="clear" w:pos="720"/>
        <w:tab w:val="left" w:pos="6480" w:leader="none"/>
        <w:tab w:val="left" w:pos="7200" w:leader="none"/>
        <w:tab w:val="left" w:pos="7920" w:leader="none"/>
        <w:tab w:val="left" w:pos="8640" w:leader="none"/>
      </w:tabs>
      <w:bidi w:val="0"/>
      <w:spacing w:lineRule="atLeast" w:line="240"/>
      <w:ind w:left="6480" w:hanging="720"/>
      <w:jc w:val="left"/>
      <w:textAlignment w:val="auto"/>
    </w:pPr>
    <w:rPr>
      <w:rFonts w:ascii="Times New Roman" w:hAnsi="Times New Roman" w:eastAsia="Cambria Math" w:cs="Times New Roman"/>
      <w:color w:val="auto"/>
      <w:kern w:val="2"/>
      <w:sz w:val="24"/>
      <w:szCs w:val="24"/>
      <w:lang w:val="en-US" w:eastAsia="en-US" w:bidi="ar-SA"/>
    </w:rPr>
  </w:style>
  <w:style w:type="paragraph" w:styleId="DefinitionT">
    <w:name w:val="Definition T"/>
    <w:qFormat/>
    <w:pPr>
      <w:widowControl w:val="false"/>
      <w:bidi w:val="0"/>
      <w:jc w:val="left"/>
      <w:textAlignment w:val="auto"/>
    </w:pPr>
    <w:rPr>
      <w:rFonts w:ascii="Times New Roman" w:hAnsi="Times New Roman" w:eastAsia="Cambria Math" w:cs="Times New Roman"/>
      <w:color w:val="auto"/>
      <w:kern w:val="2"/>
      <w:sz w:val="24"/>
      <w:szCs w:val="24"/>
      <w:lang w:val="en-US" w:eastAsia="en-US" w:bidi="ar-SA"/>
    </w:rPr>
  </w:style>
  <w:style w:type="paragraph" w:styleId="DefinitionL">
    <w:name w:val="Definition L"/>
    <w:qFormat/>
    <w:pPr>
      <w:widowControl w:val="false"/>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36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H1">
    <w:name w:val="H1"/>
    <w:qFormat/>
    <w:pPr>
      <w:widowControl w:val="false"/>
      <w:bidi w:val="0"/>
      <w:spacing w:lineRule="atLeast" w:line="240"/>
      <w:jc w:val="left"/>
      <w:textAlignment w:val="auto"/>
    </w:pPr>
    <w:rPr>
      <w:rFonts w:ascii="Times New Roman" w:hAnsi="Times New Roman" w:eastAsia="Cambria Math" w:cs="Times New Roman"/>
      <w:b/>
      <w:bCs/>
      <w:color w:val="auto"/>
      <w:kern w:val="2"/>
      <w:sz w:val="48"/>
      <w:szCs w:val="48"/>
      <w:lang w:val="en-US" w:eastAsia="en-US" w:bidi="ar-SA"/>
    </w:rPr>
  </w:style>
  <w:style w:type="paragraph" w:styleId="H2">
    <w:name w:val="H2"/>
    <w:qFormat/>
    <w:pPr>
      <w:widowControl w:val="false"/>
      <w:bidi w:val="0"/>
      <w:spacing w:lineRule="atLeast" w:line="240"/>
      <w:jc w:val="left"/>
      <w:textAlignment w:val="auto"/>
    </w:pPr>
    <w:rPr>
      <w:rFonts w:ascii="Times New Roman" w:hAnsi="Times New Roman" w:eastAsia="Cambria Math" w:cs="Times New Roman"/>
      <w:b/>
      <w:bCs/>
      <w:color w:val="auto"/>
      <w:kern w:val="2"/>
      <w:sz w:val="36"/>
      <w:szCs w:val="36"/>
      <w:lang w:val="en-US" w:eastAsia="en-US" w:bidi="ar-SA"/>
    </w:rPr>
  </w:style>
  <w:style w:type="paragraph" w:styleId="H3">
    <w:name w:val="H3"/>
    <w:qFormat/>
    <w:pPr>
      <w:widowControl w:val="false"/>
      <w:bidi w:val="0"/>
      <w:spacing w:lineRule="atLeast" w:line="240"/>
      <w:jc w:val="left"/>
      <w:textAlignment w:val="auto"/>
    </w:pPr>
    <w:rPr>
      <w:rFonts w:ascii="Times New Roman" w:hAnsi="Times New Roman" w:eastAsia="Cambria Math" w:cs="Times New Roman"/>
      <w:b/>
      <w:bCs/>
      <w:color w:val="auto"/>
      <w:kern w:val="2"/>
      <w:sz w:val="28"/>
      <w:szCs w:val="28"/>
      <w:lang w:val="en-US" w:eastAsia="en-US" w:bidi="ar-SA"/>
    </w:rPr>
  </w:style>
  <w:style w:type="paragraph" w:styleId="H4">
    <w:name w:val="H4"/>
    <w:qFormat/>
    <w:pPr>
      <w:widowControl w:val="false"/>
      <w:bidi w:val="0"/>
      <w:spacing w:lineRule="atLeast" w:line="240"/>
      <w:jc w:val="left"/>
      <w:textAlignment w:val="auto"/>
    </w:pPr>
    <w:rPr>
      <w:rFonts w:ascii="Times New Roman" w:hAnsi="Times New Roman" w:eastAsia="Cambria Math" w:cs="Times New Roman"/>
      <w:b/>
      <w:bCs/>
      <w:color w:val="auto"/>
      <w:kern w:val="2"/>
      <w:sz w:val="24"/>
      <w:szCs w:val="24"/>
      <w:lang w:val="en-US" w:eastAsia="en-US" w:bidi="ar-SA"/>
    </w:rPr>
  </w:style>
  <w:style w:type="paragraph" w:styleId="H5">
    <w:name w:val="H5"/>
    <w:qFormat/>
    <w:pPr>
      <w:widowControl w:val="false"/>
      <w:bidi w:val="0"/>
      <w:spacing w:lineRule="atLeast" w:line="240"/>
      <w:jc w:val="left"/>
      <w:textAlignment w:val="auto"/>
    </w:pPr>
    <w:rPr>
      <w:rFonts w:ascii="Times New Roman" w:hAnsi="Times New Roman" w:eastAsia="Cambria Math" w:cs="Times New Roman"/>
      <w:b/>
      <w:bCs/>
      <w:color w:val="auto"/>
      <w:kern w:val="2"/>
      <w:sz w:val="20"/>
      <w:szCs w:val="20"/>
      <w:lang w:val="en-US" w:eastAsia="en-US" w:bidi="ar-SA"/>
    </w:rPr>
  </w:style>
  <w:style w:type="paragraph" w:styleId="H6">
    <w:name w:val="H6"/>
    <w:qFormat/>
    <w:pPr>
      <w:widowControl w:val="false"/>
      <w:bidi w:val="0"/>
      <w:spacing w:lineRule="atLeast" w:line="240"/>
      <w:jc w:val="left"/>
      <w:textAlignment w:val="auto"/>
    </w:pPr>
    <w:rPr>
      <w:rFonts w:ascii="Times New Roman" w:hAnsi="Times New Roman" w:eastAsia="Cambria Math" w:cs="Times New Roman"/>
      <w:b/>
      <w:bCs/>
      <w:color w:val="auto"/>
      <w:kern w:val="2"/>
      <w:sz w:val="16"/>
      <w:szCs w:val="16"/>
      <w:lang w:val="en-US" w:eastAsia="en-US" w:bidi="ar-SA"/>
    </w:rPr>
  </w:style>
  <w:style w:type="paragraph" w:styleId="Address">
    <w:name w:val="Address"/>
    <w:qFormat/>
    <w:pPr>
      <w:widowControl w:val="false"/>
      <w:bidi w:val="0"/>
      <w:spacing w:lineRule="atLeast" w:line="240"/>
      <w:jc w:val="left"/>
      <w:textAlignment w:val="auto"/>
    </w:pPr>
    <w:rPr>
      <w:rFonts w:ascii="Times New Roman" w:hAnsi="Times New Roman" w:eastAsia="Cambria Math" w:cs="Times New Roman"/>
      <w:i/>
      <w:iCs/>
      <w:color w:val="auto"/>
      <w:kern w:val="2"/>
      <w:sz w:val="24"/>
      <w:szCs w:val="24"/>
      <w:lang w:val="en-US" w:eastAsia="en-US" w:bidi="ar-SA"/>
    </w:rPr>
  </w:style>
  <w:style w:type="paragraph" w:styleId="Blockquote">
    <w:name w:val="Blockquote"/>
    <w:qFormat/>
    <w:pPr>
      <w:widowControl w:val="false"/>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left="360" w:right="36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Preformatted">
    <w:name w:val="Preformatted"/>
    <w:qFormat/>
    <w:pPr>
      <w:widowControl w:val="false"/>
      <w:tabs>
        <w:tab w:val="clear" w:pos="720"/>
        <w:tab w:val="left" w:pos="0" w:leader="none"/>
        <w:tab w:val="left" w:pos="958" w:leader="none"/>
        <w:tab w:val="left" w:pos="1917" w:leader="none"/>
        <w:tab w:val="left" w:pos="2876" w:leader="none"/>
        <w:tab w:val="left" w:pos="3835" w:leader="none"/>
        <w:tab w:val="left" w:pos="4794" w:leader="none"/>
        <w:tab w:val="left" w:pos="5754" w:leader="none"/>
        <w:tab w:val="left" w:pos="6712" w:leader="none"/>
        <w:tab w:val="left" w:pos="7671" w:leader="none"/>
        <w:tab w:val="left" w:pos="8630" w:leader="none"/>
        <w:tab w:val="left" w:pos="9356" w:leader="none"/>
      </w:tabs>
      <w:bidi w:val="0"/>
      <w:spacing w:lineRule="atLeast" w:line="240"/>
      <w:jc w:val="left"/>
      <w:textAlignment w:val="auto"/>
    </w:pPr>
    <w:rPr>
      <w:rFonts w:ascii="Courier" w:hAnsi="Courier" w:eastAsia="Cambria Math" w:cs="Courier"/>
      <w:color w:val="auto"/>
      <w:kern w:val="2"/>
      <w:sz w:val="20"/>
      <w:szCs w:val="20"/>
      <w:lang w:val="en-US" w:eastAsia="en-US" w:bidi="ar-SA"/>
    </w:rPr>
  </w:style>
  <w:style w:type="paragraph" w:styleId="ZBottomof">
    <w:name w:val="z©Bottom of"/>
    <w:qFormat/>
    <w:pPr>
      <w:widowControl w:val="false"/>
      <w:bidi w:val="0"/>
      <w:spacing w:lineRule="atLeast" w:line="240"/>
      <w:jc w:val="center"/>
      <w:textAlignment w:val="auto"/>
    </w:pPr>
    <w:rPr>
      <w:rFonts w:ascii="Arial Narrow" w:hAnsi="Arial Narrow" w:eastAsia="Cambria Math" w:cs="Arial Narrow"/>
      <w:color w:val="auto"/>
      <w:kern w:val="2"/>
      <w:sz w:val="16"/>
      <w:szCs w:val="16"/>
      <w:lang w:val="en-US" w:eastAsia="en-US" w:bidi="ar-SA"/>
    </w:rPr>
  </w:style>
  <w:style w:type="paragraph" w:styleId="ZTopofFor">
    <w:name w:val="z©Top of For"/>
    <w:qFormat/>
    <w:pPr>
      <w:widowControl w:val="false"/>
      <w:bidi w:val="0"/>
      <w:spacing w:lineRule="atLeast" w:line="240"/>
      <w:jc w:val="center"/>
      <w:textAlignment w:val="auto"/>
    </w:pPr>
    <w:rPr>
      <w:rFonts w:ascii="Arial Narrow" w:hAnsi="Arial Narrow" w:eastAsia="Cambria Math" w:cs="Arial Narrow"/>
      <w:color w:val="auto"/>
      <w:kern w:val="2"/>
      <w:sz w:val="16"/>
      <w:szCs w:val="16"/>
      <w:lang w:val="en-US" w:eastAsia="en-US" w:bidi="ar-SA"/>
    </w:rPr>
  </w:style>
  <w:style w:type="paragraph" w:styleId="Outline1">
    <w:name w:val="Outline 1"/>
    <w:qFormat/>
    <w:pPr>
      <w:widowControl w:val="false"/>
      <w:bidi w:val="0"/>
      <w:spacing w:lineRule="atLeast" w:line="240"/>
      <w:jc w:val="left"/>
      <w:textAlignment w:val="auto"/>
    </w:pPr>
    <w:rPr>
      <w:rFonts w:ascii="Times New Roman" w:hAnsi="Times New Roman" w:eastAsia="Cambria Math" w:cs="Times New Roman"/>
      <w:b/>
      <w:bCs/>
      <w:color w:val="auto"/>
      <w:kern w:val="2"/>
      <w:sz w:val="24"/>
      <w:szCs w:val="24"/>
      <w:lang w:val="en-US" w:eastAsia="en-US" w:bidi="ar-SA"/>
    </w:rPr>
  </w:style>
  <w:style w:type="paragraph" w:styleId="Outline2">
    <w:name w:val="Outline 2"/>
    <w:qFormat/>
    <w:pPr>
      <w:widowControl w:val="false"/>
      <w:bidi w:val="0"/>
      <w:spacing w:lineRule="atLeast" w:line="240"/>
      <w:ind w:left="144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Outline3">
    <w:name w:val="Outline 3"/>
    <w:qFormat/>
    <w:pPr>
      <w:widowControl w:val="false"/>
      <w:bidi w:val="0"/>
      <w:spacing w:lineRule="atLeast" w:line="240"/>
      <w:ind w:left="216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Outline4">
    <w:name w:val="Outline 4"/>
    <w:qFormat/>
    <w:pPr>
      <w:widowControl w:val="false"/>
      <w:bidi w:val="0"/>
      <w:spacing w:lineRule="atLeast" w:line="240"/>
      <w:ind w:left="288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Outline5">
    <w:name w:val="Outline 5"/>
    <w:qFormat/>
    <w:pPr>
      <w:widowControl w:val="false"/>
      <w:bidi w:val="0"/>
      <w:spacing w:lineRule="atLeast" w:line="240"/>
      <w:ind w:left="360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Times New Roman" w:hAnsi="Times New Roman" w:eastAsia="Cambria Math" w:cs="Times New Roman"/>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2007</Words>
  <Characters>13421</Characters>
  <CharactersWithSpaces>11440</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2015-11-16T11:14:00Z</dcterms:created>
  <dc:creator>shonetschlager</dc:creator>
  <dc:description/>
  <dc:language>en-US</dc:language>
  <cp:lastModifiedBy/>
  <cp:lastPrinted>2014-10-22T14:57:00Z</cp:lastPrinted>
  <dcterms:modified xsi:type="dcterms:W3CDTF">2015-11-16T11:14:00Z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 Lemcke</vt:lpwstr>
  </property>
</Properties>
</file>