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start="0" w:end="0" w:hanging="0"/>
        <w:jc w:val="both"/>
        <w:rPr/>
      </w:pPr>
      <w:r>
        <w:rPr>
          <w:rFonts w:cs="Times New Roman" w:ascii="Times New Roman" w:hAnsi="Times New Roman"/>
          <w:i/>
          <w:iCs/>
          <w:sz w:val="24"/>
          <w:szCs w:val="24"/>
        </w:rPr>
        <w:t>Adopted:</w:t>
      </w:r>
      <w:r>
        <w:rPr>
          <w:rFonts w:cs="Times New Roman" w:ascii="Times New Roman" w:hAnsi="Times New Roman"/>
          <w:i/>
          <w:iCs/>
          <w:sz w:val="24"/>
          <w:szCs w:val="24"/>
          <w:u w:val="single"/>
        </w:rPr>
        <w:t xml:space="preserve">    June 8, 2015     </w:t>
      </w:r>
      <w:r>
        <w:rPr>
          <w:i/>
          <w:iCs/>
          <w:sz w:val="24"/>
          <w:szCs w:val="24"/>
        </w:rPr>
        <w:tab/>
      </w:r>
      <w:r>
        <w:rPr>
          <w:rFonts w:cs="Times New Roman" w:ascii="Times New Roman" w:hAnsi="Times New Roman"/>
          <w:i/>
          <w:iCs/>
          <w:sz w:val="24"/>
          <w:szCs w:val="24"/>
        </w:rPr>
        <w:t>MSBA/MASA Model Policy 427</w:t>
      </w:r>
    </w:p>
    <w:p>
      <w:pPr>
        <w:pStyle w:val="Heading1"/>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rPr/>
      </w:pPr>
      <w:r>
        <w:rPr>
          <w:rFonts w:cs="Times New Roman" w:ascii="Times New Roman" w:hAnsi="Times New Roman"/>
          <w:sz w:val="24"/>
          <w:szCs w:val="24"/>
        </w:rPr>
        <w:t>Orig. 2015</w:t>
      </w:r>
    </w:p>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start="0" w:end="0" w:hanging="0"/>
        <w:jc w:val="both"/>
        <w:rPr/>
      </w:pPr>
      <w:r>
        <w:rPr>
          <w:rFonts w:cs="Times New Roman" w:ascii="Times New Roman" w:hAnsi="Times New Roman"/>
          <w:i/>
          <w:iCs/>
          <w:sz w:val="24"/>
          <w:szCs w:val="24"/>
        </w:rPr>
        <w:t>Revised:</w:t>
      </w:r>
      <w:r>
        <w:rPr>
          <w:rFonts w:cs="Times New Roman" w:ascii="Times New Roman" w:hAnsi="Times New Roman"/>
          <w:i/>
          <w:iCs/>
          <w:sz w:val="24"/>
          <w:szCs w:val="24"/>
          <w:u w:val="single"/>
        </w:rPr>
        <w:t xml:space="preserve">                               </w:t>
      </w:r>
      <w:r>
        <w:rPr>
          <w:i/>
          <w:iCs/>
          <w:sz w:val="24"/>
          <w:szCs w:val="24"/>
        </w:rPr>
        <w:tab/>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427</w:t>
        <w:tab/>
        <w:t xml:space="preserve">WORKLOAD LIMITS FOR CERTAIN SPECIAL EDUCATION TEACHERS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lang w:val="en"/>
        </w:rPr>
      </w:pPr>
      <w:r>
        <w:rPr>
          <w:rFonts w:cs="Times New Roman" w:ascii="Times New Roman" w:hAnsi="Times New Roman"/>
          <w:b/>
          <w:bCs/>
          <w:i/>
          <w:iCs/>
          <w:color w:val="000000"/>
          <w:sz w:val="24"/>
          <w:szCs w:val="24"/>
          <w:lang w:val="en"/>
        </w:rPr>
        <w:t xml:space="preserve">[Note:  Minn. Stat. </w:t>
      </w:r>
      <w:r>
        <w:rPr>
          <w:rFonts w:cs="Times New Roman" w:ascii="Times New Roman" w:hAnsi="Times New Roman"/>
          <w:b/>
          <w:bCs/>
          <w:i/>
          <w:iCs/>
          <w:sz w:val="24"/>
          <w:szCs w:val="24"/>
        </w:rPr>
        <w:t>§</w:t>
      </w:r>
      <w:r>
        <w:rPr>
          <w:rFonts w:cs="Times New Roman" w:ascii="Times New Roman" w:hAnsi="Times New Roman"/>
          <w:b/>
          <w:bCs/>
          <w:i/>
          <w:iCs/>
          <w:color w:val="000000"/>
          <w:sz w:val="24"/>
          <w:szCs w:val="24"/>
          <w:lang w:val="en"/>
        </w:rPr>
        <w:t xml:space="preserve"> 179A.07, Subd. 1, of the Public Employers Labor Relations Act (PELRA) provides</w:t>
      </w:r>
      <w:r>
        <w:rPr>
          <w:rFonts w:cs="Times New Roman" w:ascii="Times New Roman" w:hAnsi="Times New Roman"/>
          <w:color w:val="000000"/>
          <w:sz w:val="25"/>
          <w:szCs w:val="25"/>
          <w:lang w:val="en"/>
        </w:rPr>
        <w:t xml:space="preserve"> </w:t>
      </w:r>
      <w:r>
        <w:rPr>
          <w:rFonts w:cs="Times New Roman" w:ascii="Times New Roman" w:hAnsi="Times New Roman"/>
          <w:b/>
          <w:i/>
          <w:color w:val="000000"/>
          <w:sz w:val="25"/>
          <w:szCs w:val="25"/>
          <w:lang w:val="en"/>
        </w:rPr>
        <w:t>that a</w:t>
      </w:r>
      <w:r>
        <w:rPr>
          <w:rFonts w:cs="Times New Roman" w:ascii="Times New Roman" w:hAnsi="Times New Roman"/>
          <w:b/>
          <w:bCs/>
          <w:i/>
          <w:iCs/>
          <w:color w:val="000000"/>
          <w:sz w:val="24"/>
          <w:szCs w:val="24"/>
          <w:lang w:val="en"/>
        </w:rPr>
        <w:t xml:space="preserve"> public employer is not required to meet and negotiate on matters of inherent managerial policy. Matters of inherent managerial policy include, but are not limited to, the organizational structure, selection of personnel, and direction and number of personnel. MSBA’s position is that this policy is not a mandatory subject of bargaining.  School districts, therefore, are cautioned to not relinquish their inherent managerial right to determine workload limits for special education teachers.]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w:t>
        <w:tab/>
        <w:t>PURPOSE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rFonts w:cs="Times New Roman" w:ascii="Times New Roman" w:hAnsi="Times New Roman"/>
          <w:sz w:val="24"/>
          <w:szCs w:val="24"/>
        </w:rPr>
        <w:t>The purpose of this policy is to establish general parameters for determining the workload limits of special education staff who provide services to children with disabilities receiving direct special education services 60 percent or less of the instructional day.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II.</w:t>
        <w:tab/>
        <w:t>DEFINITIONS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rFonts w:cs="Times New Roman" w:ascii="Times New Roman" w:hAnsi="Times New Roman"/>
          <w:sz w:val="24"/>
          <w:szCs w:val="24"/>
        </w:rPr>
        <w:t>A.</w:t>
        <w:tab/>
      </w:r>
      <w:r>
        <w:rPr>
          <w:rFonts w:cs="Times New Roman" w:ascii="Times New Roman" w:hAnsi="Times New Roman"/>
          <w:sz w:val="24"/>
          <w:szCs w:val="24"/>
          <w:u w:val="single"/>
        </w:rPr>
        <w:t>Special Education Staff; Special Education Teacher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rFonts w:cs="Times New Roman" w:ascii="Times New Roman" w:hAnsi="Times New Roman"/>
          <w:sz w:val="24"/>
          <w:szCs w:val="24"/>
        </w:rPr>
        <w:t>“</w:t>
      </w:r>
      <w:r>
        <w:rPr>
          <w:rFonts w:cs="Times New Roman" w:ascii="Times New Roman" w:hAnsi="Times New Roman"/>
          <w:sz w:val="24"/>
          <w:szCs w:val="24"/>
        </w:rPr>
        <w:t xml:space="preserve">Special education staff” and “special education teacher” both mean a teacher employed by the school district who is </w:t>
      </w:r>
      <w:r>
        <w:rPr>
          <w:rFonts w:cs="Times New Roman" w:ascii="Times New Roman" w:hAnsi="Times New Roman"/>
          <w:sz w:val="24"/>
          <w:szCs w:val="24"/>
          <w:lang w:val="en"/>
        </w:rPr>
        <w:t>licensed under the rules of the Minnesota Board of Teaching to instruct children with specific disabling conditions.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B.</w:t>
        <w:tab/>
      </w:r>
      <w:r>
        <w:rPr>
          <w:rFonts w:cs="Times New Roman" w:ascii="Times New Roman" w:hAnsi="Times New Roman"/>
          <w:sz w:val="24"/>
          <w:szCs w:val="24"/>
          <w:u w:val="single"/>
        </w:rPr>
        <w:t>Direct Services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lang w:val="en"/>
        </w:rPr>
      </w:pPr>
      <w:r>
        <w:rPr>
          <w:rFonts w:cs="Times New Roman" w:ascii="Times New Roman" w:hAnsi="Times New Roman"/>
          <w:sz w:val="24"/>
          <w:szCs w:val="24"/>
          <w:lang w:val="en"/>
        </w:rPr>
        <w:t>“</w:t>
      </w:r>
      <w:r>
        <w:rPr>
          <w:rFonts w:cs="Times New Roman" w:ascii="Times New Roman" w:hAnsi="Times New Roman"/>
          <w:sz w:val="24"/>
          <w:szCs w:val="24"/>
          <w:lang w:val="en"/>
        </w:rPr>
        <w:t>Direct services” means special education services provided by a special education teacher when the services are related to instruction, including cooperative teaching.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rFonts w:ascii="Times New Roman" w:hAnsi="Times New Roman" w:cs="Times New Roman"/>
          <w:sz w:val="24"/>
          <w:szCs w:val="24"/>
          <w:lang w:val="en"/>
        </w:rPr>
      </w:pPr>
      <w:r>
        <w:rPr>
          <w:rFonts w:cs="Times New Roman" w:ascii="Times New Roman" w:hAnsi="Times New Roman"/>
          <w:sz w:val="24"/>
          <w:szCs w:val="24"/>
          <w:lang w:val="en"/>
        </w:rPr>
      </w:r>
    </w:p>
    <w:p>
      <w:pPr>
        <w:pStyle w:val="Normal"/>
        <w:tabs>
          <w:tab w:val="clear" w:pos="720"/>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lang w:val="en"/>
        </w:rPr>
      </w:pPr>
      <w:r>
        <w:rPr>
          <w:rFonts w:cs="Times New Roman" w:ascii="Times New Roman" w:hAnsi="Times New Roman"/>
          <w:sz w:val="24"/>
          <w:szCs w:val="24"/>
          <w:lang w:val="en"/>
        </w:rPr>
        <w:t>C.</w:t>
        <w:tab/>
      </w:r>
      <w:r>
        <w:rPr>
          <w:rFonts w:cs="Times New Roman" w:ascii="Times New Roman" w:hAnsi="Times New Roman"/>
          <w:sz w:val="24"/>
          <w:szCs w:val="24"/>
          <w:u w:val="single"/>
          <w:lang w:val="en"/>
        </w:rPr>
        <w:t>Indirect Services</w:t>
      </w:r>
    </w:p>
    <w:p>
      <w:pPr>
        <w:pStyle w:val="Normal"/>
        <w:tabs>
          <w:tab w:val="clear" w:pos="720"/>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rFonts w:ascii="Times New Roman" w:hAnsi="Times New Roman" w:cs="Times New Roman"/>
          <w:sz w:val="24"/>
          <w:szCs w:val="24"/>
          <w:lang w:val="en"/>
        </w:rPr>
      </w:pPr>
      <w:r>
        <w:rPr>
          <w:rFonts w:cs="Times New Roman" w:ascii="Times New Roman" w:hAnsi="Times New Roman"/>
          <w:sz w:val="24"/>
          <w:szCs w:val="24"/>
          <w:lang w:val="en"/>
        </w:rPr>
      </w:r>
    </w:p>
    <w:p>
      <w:pPr>
        <w:pStyle w:val="Normal"/>
        <w:tabs>
          <w:tab w:val="clear" w:pos="720"/>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lang w:val="en"/>
        </w:rPr>
        <w:tab/>
        <w:t>“Indirect services” means special education services provided by a special education teacher which include ongoing progress reviews; cooperative planning; consultation; demonstration teaching; modification and adaptation of the environment, curriculum, materials, or equipment; and direct contact with children with disabilities to monitor and observe.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rFonts w:ascii="Times New Roman" w:hAnsi="Times New Roman" w:cs="Times New Roman"/>
          <w:sz w:val="24"/>
          <w:szCs w:val="24"/>
          <w:lang w:val="en"/>
        </w:rPr>
      </w:pPr>
      <w:r>
        <w:rPr>
          <w:rFonts w:cs="Times New Roman" w:ascii="Times New Roman" w:hAnsi="Times New Roman"/>
          <w:sz w:val="24"/>
          <w:szCs w:val="24"/>
          <w:lang w:val="en"/>
        </w:rPr>
      </w:r>
    </w:p>
    <w:p>
      <w:pPr>
        <w:pStyle w:val="Normal"/>
        <w:tabs>
          <w:tab w:val="clear" w:pos="720"/>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lang w:val="en"/>
        </w:rPr>
      </w:pPr>
      <w:r>
        <w:rPr>
          <w:rFonts w:cs="Times New Roman" w:ascii="Times New Roman" w:hAnsi="Times New Roman"/>
          <w:sz w:val="24"/>
          <w:szCs w:val="24"/>
          <w:lang w:val="en"/>
        </w:rPr>
        <w:t>D.</w:t>
        <w:tab/>
      </w:r>
      <w:r>
        <w:rPr>
          <w:rFonts w:cs="Times New Roman" w:ascii="Times New Roman" w:hAnsi="Times New Roman"/>
          <w:sz w:val="24"/>
          <w:szCs w:val="24"/>
          <w:u w:val="single"/>
          <w:lang w:val="en"/>
        </w:rPr>
        <w:t>Workload</w:t>
      </w:r>
    </w:p>
    <w:p>
      <w:pPr>
        <w:pStyle w:val="Normal"/>
        <w:tabs>
          <w:tab w:val="clear" w:pos="720"/>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rFonts w:ascii="Times New Roman" w:hAnsi="Times New Roman" w:cs="Times New Roman"/>
          <w:sz w:val="24"/>
          <w:szCs w:val="24"/>
          <w:lang w:val="en"/>
        </w:rPr>
      </w:pPr>
      <w:r>
        <w:rPr>
          <w:rFonts w:cs="Times New Roman" w:ascii="Times New Roman" w:hAnsi="Times New Roman"/>
          <w:sz w:val="24"/>
          <w:szCs w:val="24"/>
          <w:lang w:val="en"/>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lang w:val="en"/>
        </w:rPr>
      </w:pPr>
      <w:r>
        <w:rPr>
          <w:rFonts w:cs="Times New Roman" w:ascii="Times New Roman" w:hAnsi="Times New Roman"/>
          <w:sz w:val="24"/>
          <w:szCs w:val="24"/>
          <w:lang w:val="en"/>
        </w:rPr>
        <w:t>“</w:t>
      </w:r>
      <w:r>
        <w:rPr>
          <w:rFonts w:cs="Times New Roman" w:ascii="Times New Roman" w:hAnsi="Times New Roman"/>
          <w:sz w:val="24"/>
          <w:szCs w:val="24"/>
          <w:lang w:val="en"/>
        </w:rPr>
        <w:t>Workload” means a special education teacher’s total number of minutes required for all due process responsibilities, including direct and indirect services, evaluation and reevaluation time, management of individualized education programs (IEPs), travel time, parental contact, and other services required in the IEPs.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III.</w:t>
        <w:tab/>
        <w:t>GENERAL STATEMENT OF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1"/>
        </w:num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Workload limits for special education teachers shall be determined by the appropriate special education administrator, in consultation with the building principal and the superintendent.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rFonts w:ascii="Times New Roman" w:hAnsi="Times New Roman" w:cs="Times New Roman"/>
          <w:sz w:val="24"/>
          <w:szCs w:val="24"/>
          <w:lang w:val="en"/>
        </w:rPr>
      </w:pPr>
      <w:r>
        <w:rPr>
          <w:rFonts w:cs="Times New Roman" w:ascii="Times New Roman" w:hAnsi="Times New Roman"/>
          <w:sz w:val="24"/>
          <w:szCs w:val="24"/>
          <w:lang w:val="en"/>
        </w:rPr>
      </w:r>
    </w:p>
    <w:p>
      <w:pPr>
        <w:pStyle w:val="Normal"/>
        <w:numPr>
          <w:ilvl w:val="0"/>
          <w:numId w:val="1"/>
        </w:num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 xml:space="preserve">In determining workload limits for special education staff, the school district shall take into consideration the following factors: </w:t>
      </w:r>
      <w:r>
        <w:rPr>
          <w:rFonts w:cs="Times New Roman" w:ascii="Times New Roman" w:hAnsi="Times New Roman"/>
          <w:sz w:val="24"/>
          <w:szCs w:val="24"/>
          <w:lang w:val="en"/>
        </w:rPr>
        <w:t>student contact minutes, evaluation and reevaluation time, indirect services, management of IEPs, travel time, and other services required in the IEPs of eligible students.</w:t>
      </w:r>
    </w:p>
    <w:p>
      <w:pPr>
        <w:pStyle w:val="ListParagraph"/>
        <w:bidi w:val="0"/>
        <w:ind w:start="720" w:end="0" w:hanging="0"/>
        <w:rPr>
          <w:rFonts w:ascii="Times New Roman" w:hAnsi="Times New Roman" w:cs="Times New Roman"/>
          <w:sz w:val="24"/>
          <w:szCs w:val="24"/>
          <w:lang w:val="en"/>
        </w:rPr>
      </w:pPr>
      <w:r>
        <w:rPr>
          <w:rFonts w:cs="Times New Roman" w:ascii="Times New Roman" w:hAnsi="Times New Roman"/>
          <w:sz w:val="24"/>
          <w:szCs w:val="24"/>
          <w:lang w:val="en"/>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sz w:val="24"/>
          <w:szCs w:val="24"/>
        </w:rPr>
        <w:t>IV.</w:t>
        <w:tab/>
        <w:t>COLLECTIVE BARGAINING AGREEMENT UNAFFECTED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rFonts w:cs="Times New Roman" w:ascii="Times New Roman" w:hAnsi="Times New Roman"/>
          <w:sz w:val="24"/>
          <w:szCs w:val="24"/>
        </w:rPr>
        <w:t>This policy shall not be construed as a reopening of negotiations between the school district and the special education teachers’ exclusive representative, nor shall it be construed to alter or limit in any way the managerial rights or other authority of the school district set forth in the Public Employers Labor Relations Act or in the collective bargaining agreement between the school district and the special education teachers’ exclusive representative.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2160"/>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tabs>
          <w:tab w:val="clear" w:pos="720"/>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2160"/>
        <w:jc w:val="both"/>
        <w:rPr/>
      </w:pPr>
      <w:r>
        <w:rPr>
          <w:rFonts w:cs="Times New Roman" w:ascii="Times New Roman" w:hAnsi="Times New Roman"/>
          <w:b/>
          <w:bCs/>
          <w:i/>
          <w:iCs/>
          <w:sz w:val="24"/>
          <w:szCs w:val="24"/>
        </w:rPr>
        <w:t>Legal References:</w:t>
      </w:r>
      <w:r>
        <w:rPr>
          <w:rFonts w:cs="Times New Roman" w:ascii="Times New Roman" w:hAnsi="Times New Roman"/>
          <w:sz w:val="24"/>
          <w:szCs w:val="24"/>
        </w:rPr>
        <w:tab/>
      </w:r>
      <w:r>
        <w:rPr>
          <w:rFonts w:cs="Times New Roman" w:ascii="Times New Roman" w:hAnsi="Times New Roman"/>
          <w:bCs/>
          <w:iCs/>
          <w:sz w:val="24"/>
          <w:szCs w:val="24"/>
        </w:rPr>
        <w:t>Minn. Stat. § 179A.07, Subd. 1 (Inherent Managerial Policy)</w:t>
      </w:r>
    </w:p>
    <w:p>
      <w:pPr>
        <w:pStyle w:val="Normal"/>
        <w:tabs>
          <w:tab w:val="clear" w:pos="720"/>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2160"/>
        <w:jc w:val="both"/>
        <w:rPr/>
      </w:pPr>
      <w:r>
        <w:rPr>
          <w:rFonts w:cs="Times New Roman" w:ascii="Times New Roman" w:hAnsi="Times New Roman"/>
          <w:b/>
          <w:bCs/>
          <w:i/>
          <w:iCs/>
          <w:sz w:val="24"/>
          <w:szCs w:val="24"/>
        </w:rPr>
        <w:tab/>
        <w:tab/>
      </w:r>
      <w:r>
        <w:rPr>
          <w:rFonts w:cs="Times New Roman" w:ascii="Times New Roman" w:hAnsi="Times New Roman"/>
          <w:bCs/>
          <w:iCs/>
          <w:sz w:val="24"/>
          <w:szCs w:val="24"/>
        </w:rPr>
        <w:t>Minn. Rule 3525.0210, Subps. 14, 27, 44, and 49 (Definitions of “Direct Services,” “Indirect Services,” “Teacher,” and “Workload”)</w:t>
      </w:r>
    </w:p>
    <w:p>
      <w:pPr>
        <w:pStyle w:val="Normal"/>
        <w:tabs>
          <w:tab w:val="clear" w:pos="720"/>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Rule 3525.2340, Subp. 4.B. (Case Loads for School-Age Educational Service Alternatives)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tabs>
          <w:tab w:val="clear" w:pos="720"/>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2160"/>
        <w:jc w:val="both"/>
        <w:rPr/>
      </w:pPr>
      <w:r>
        <w:rPr>
          <w:rFonts w:cs="Times New Roman" w:ascii="Times New Roman" w:hAnsi="Times New Roman"/>
          <w:b/>
          <w:bCs/>
          <w:i/>
          <w:iCs/>
          <w:sz w:val="24"/>
          <w:szCs w:val="24"/>
        </w:rPr>
        <w:t>Cross References:</w:t>
      </w:r>
      <w:r>
        <w:rPr>
          <w:rFonts w:cs="Times New Roman" w:ascii="Times New Roman" w:hAnsi="Times New Roman"/>
          <w:sz w:val="24"/>
          <w:szCs w:val="24"/>
        </w:rPr>
        <w:tab/>
      </w:r>
      <w:r>
        <w:rPr>
          <w:rFonts w:cs="Times New Roman" w:ascii="Times New Roman" w:hAnsi="Times New Roman"/>
          <w:bCs/>
          <w:iCs/>
          <w:sz w:val="24"/>
          <w:szCs w:val="24"/>
        </w:rPr>
        <w:t>MSBA/MASA Model Policy 508 (Extended School Year for Certain Students with Individualized Education Programs)</w:t>
      </w:r>
    </w:p>
    <w:p>
      <w:pPr>
        <w:pStyle w:val="Normal"/>
        <w:tabs>
          <w:tab w:val="clear" w:pos="720"/>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bCs/>
          <w:iCs/>
          <w:sz w:val="24"/>
          <w:szCs w:val="24"/>
        </w:rPr>
        <w:t>MSBA/MASA Model Policy 608 (Instructional Services – Special Education)</w:t>
      </w:r>
    </w:p>
    <w:sectPr>
      <w:footerReference w:type="default" r:id="rId2"/>
      <w:type w:val="nextPage"/>
      <w:pgSz w:w="12240" w:h="15840"/>
      <w:pgMar w:left="1440" w:right="1440" w:header="0" w:top="1440" w:footer="72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Fixedsys">
    <w:charset w:val="00" w:characterSet="iso-8859-1"/>
    <w:family w:val="roman"/>
    <w:pitch w:val="variable"/>
  </w:font>
  <w:font w:name="Cambria">
    <w:charset w:val="00" w:characterSet="iso-8859-1"/>
    <w:family w:val="roman"/>
    <w:pitch w:val="variable"/>
  </w:font>
  <w:font w:name="Liberation Sans">
    <w:altName w:val="Arial"/>
    <w:charset w:val="00" w:characterSet="iso-8859-1"/>
    <w:family w:val="swiss"/>
    <w:pitch w:val="variable"/>
  </w:font>
  <w:font w:name="Calibri">
    <w:charset w:val="00" w:characterSet="iso-8859-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tabs>
        <w:tab w:val="center" w:pos="4320" w:leader="none"/>
        <w:tab w:val="right" w:pos="8640" w:leader="none"/>
      </w:tabs>
      <w:bidi w:val="0"/>
      <w:ind w:start="0" w:end="0" w:hanging="0"/>
      <w:jc w:val="start"/>
      <w:textAlignment w:val="auto"/>
      <w:rPr>
        <w:rFonts w:ascii="Fixedsys" w:hAnsi="Fixedsys" w:eastAsia="Times New Roman" w:cs="Fixedsys"/>
        <w:sz w:val="20"/>
        <w:szCs w:val="20"/>
        <w:lang w:val="en-US" w:eastAsia="en-US" w:bidi="ar-SA"/>
      </w:rPr>
    </w:pPr>
    <w:r>
      <w:rPr>
        <w:rFonts w:eastAsia="Times New Roman" w:cs="Fixedsys"/>
        <w:sz w:val="20"/>
        <w:szCs w:val="20"/>
        <w:lang w:val="en-US" w:eastAsia="en-US" w:bidi="ar-SA"/>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356235" cy="175260"/>
              <wp:effectExtent l="0" t="0" r="0" b="0"/>
              <wp:wrapTopAndBottom/>
              <wp:docPr id="1" name="Frame1"/>
              <a:graphic xmlns:a="http://schemas.openxmlformats.org/drawingml/2006/main">
                <a:graphicData uri="http://schemas.microsoft.com/office/word/2010/wordprocessingShape">
                  <wps:wsp>
                    <wps:cNvSpPr txBox="1"/>
                    <wps:spPr>
                      <a:xfrm>
                        <a:off x="0" y="0"/>
                        <a:ext cx="356235" cy="175260"/>
                      </a:xfrm>
                      <a:prstGeom prst="rect"/>
                      <a:solidFill>
                        <a:srgbClr val="FFFFFF">
                          <a:alpha val="0"/>
                        </a:srgbClr>
                      </a:solidFill>
                    </wps:spPr>
                    <wps:txbx>
                      <w:txbxContent>
                        <w:p>
                          <w:pPr>
                            <w:pStyle w:val="Footer"/>
                            <w:widowControl w:val="false"/>
                            <w:pBdr/>
                            <w:tabs>
                              <w:tab w:val="center" w:pos="4320" w:leader="none"/>
                              <w:tab w:val="right" w:pos="8640" w:leader="none"/>
                            </w:tabs>
                            <w:bidi w:val="0"/>
                            <w:ind w:start="0" w:end="0" w:hanging="0"/>
                            <w:jc w:val="start"/>
                            <w:textAlignment w:val="auto"/>
                            <w:rPr/>
                          </w:pPr>
                          <w:r>
                            <w:rPr>
                              <w:rStyle w:val="Pagenumber"/>
                              <w:rFonts w:eastAsia="Times New Roman" w:cs="Times New Roman" w:ascii="Times New Roman" w:hAnsi="Times New Roman"/>
                              <w:sz w:val="24"/>
                              <w:szCs w:val="24"/>
                              <w:lang w:val="en-US" w:eastAsia="en-US" w:bidi="ar-SA"/>
                            </w:rPr>
                            <w:t>427-</w:t>
                          </w:r>
                          <w:r>
                            <w:rPr>
                              <w:rStyle w:val="Pagenumber"/>
                              <w:rFonts w:eastAsia="Times New Roman" w:cs="Times New Roman" w:ascii="Times New Roman" w:hAnsi="Times New Roman"/>
                              <w:sz w:val="24"/>
                              <w:szCs w:val="24"/>
                              <w:lang w:val="en-US" w:eastAsia="en-US" w:bidi="ar-SA"/>
                            </w:rPr>
                            <w:fldChar w:fldCharType="begin"/>
                          </w:r>
                          <w:r>
                            <w:rPr>
                              <w:rStyle w:val="Pagenumber"/>
                              <w:sz w:val="24"/>
                              <w:szCs w:val="24"/>
                              <w:rFonts w:eastAsia="Times New Roman" w:cs="Times New Roman" w:ascii="Times New Roman" w:hAnsi="Times New Roman"/>
                            </w:rPr>
                            <w:instrText> PAGE </w:instrText>
                          </w:r>
                          <w:r>
                            <w:rPr>
                              <w:rStyle w:val="Pagenumber"/>
                              <w:sz w:val="24"/>
                              <w:szCs w:val="24"/>
                              <w:rFonts w:eastAsia="Times New Roman" w:cs="Times New Roman" w:ascii="Times New Roman" w:hAnsi="Times New Roman"/>
                            </w:rPr>
                            <w:fldChar w:fldCharType="separate"/>
                          </w:r>
                          <w:r>
                            <w:rPr>
                              <w:rStyle w:val="Pagenumber"/>
                              <w:sz w:val="24"/>
                              <w:szCs w:val="24"/>
                              <w:rFonts w:eastAsia="Times New Roman" w:cs="Times New Roman" w:ascii="Times New Roman" w:hAnsi="Times New Roman"/>
                            </w:rPr>
                            <w:t>2</w:t>
                          </w:r>
                          <w:r>
                            <w:rPr>
                              <w:rStyle w:val="Pagenumber"/>
                              <w:sz w:val="24"/>
                              <w:szCs w:val="24"/>
                              <w:rFonts w:eastAsia="Times New Roman" w:cs="Times New Roman" w:ascii="Times New Roman" w:hAnsi="Times New Roman"/>
                            </w:rPr>
                            <w:fldChar w:fldCharType="end"/>
                          </w:r>
                        </w:p>
                      </w:txbxContent>
                    </wps:txbx>
                    <wps:bodyPr anchor="t" lIns="0" tIns="0" rIns="0" bIns="0">
                      <a:spAutoFit/>
                    </wps:bodyPr>
                  </wps:wsp>
                </a:graphicData>
              </a:graphic>
            </wp:anchor>
          </w:drawing>
        </mc:Choice>
        <mc:Fallback>
          <w:pict>
            <v:rect fillcolor="#FFFFFF" style="position:absolute;rotation:0;width:28.05pt;height:13.8pt;mso-wrap-distance-left:0pt;mso-wrap-distance-right:0pt;mso-wrap-distance-top:0pt;mso-wrap-distance-bottom:0pt;margin-top:0pt;mso-position-vertical-relative:text;margin-left:220pt;mso-position-horizontal:center;mso-position-horizontal-relative:margin">
              <v:fill opacity="0f"/>
              <v:textbox inset="0in,0in,0in,0in">
                <w:txbxContent>
                  <w:p>
                    <w:pPr>
                      <w:pStyle w:val="Footer"/>
                      <w:widowControl w:val="false"/>
                      <w:pBdr/>
                      <w:tabs>
                        <w:tab w:val="center" w:pos="4320" w:leader="none"/>
                        <w:tab w:val="right" w:pos="8640" w:leader="none"/>
                      </w:tabs>
                      <w:bidi w:val="0"/>
                      <w:ind w:start="0" w:end="0" w:hanging="0"/>
                      <w:jc w:val="start"/>
                      <w:textAlignment w:val="auto"/>
                      <w:rPr/>
                    </w:pPr>
                    <w:r>
                      <w:rPr>
                        <w:rStyle w:val="Pagenumber"/>
                        <w:rFonts w:eastAsia="Times New Roman" w:cs="Times New Roman" w:ascii="Times New Roman" w:hAnsi="Times New Roman"/>
                        <w:sz w:val="24"/>
                        <w:szCs w:val="24"/>
                        <w:lang w:val="en-US" w:eastAsia="en-US" w:bidi="ar-SA"/>
                      </w:rPr>
                      <w:t>427-</w:t>
                    </w:r>
                    <w:r>
                      <w:rPr>
                        <w:rStyle w:val="Pagenumber"/>
                        <w:rFonts w:eastAsia="Times New Roman" w:cs="Times New Roman" w:ascii="Times New Roman" w:hAnsi="Times New Roman"/>
                        <w:sz w:val="24"/>
                        <w:szCs w:val="24"/>
                        <w:lang w:val="en-US" w:eastAsia="en-US" w:bidi="ar-SA"/>
                      </w:rPr>
                      <w:fldChar w:fldCharType="begin"/>
                    </w:r>
                    <w:r>
                      <w:rPr>
                        <w:rStyle w:val="Pagenumber"/>
                        <w:sz w:val="24"/>
                        <w:szCs w:val="24"/>
                        <w:rFonts w:eastAsia="Times New Roman" w:cs="Times New Roman" w:ascii="Times New Roman" w:hAnsi="Times New Roman"/>
                      </w:rPr>
                      <w:instrText> PAGE </w:instrText>
                    </w:r>
                    <w:r>
                      <w:rPr>
                        <w:rStyle w:val="Pagenumber"/>
                        <w:sz w:val="24"/>
                        <w:szCs w:val="24"/>
                        <w:rFonts w:eastAsia="Times New Roman" w:cs="Times New Roman" w:ascii="Times New Roman" w:hAnsi="Times New Roman"/>
                      </w:rPr>
                      <w:fldChar w:fldCharType="separate"/>
                    </w:r>
                    <w:r>
                      <w:rPr>
                        <w:rStyle w:val="Pagenumber"/>
                        <w:sz w:val="24"/>
                        <w:szCs w:val="24"/>
                        <w:rFonts w:eastAsia="Times New Roman" w:cs="Times New Roman" w:ascii="Times New Roman" w:hAnsi="Times New Roman"/>
                      </w:rPr>
                      <w:t>2</w:t>
                    </w:r>
                    <w:r>
                      <w:rPr>
                        <w:rStyle w:val="Pagenumber"/>
                        <w:sz w:val="24"/>
                        <w:szCs w:val="24"/>
                        <w:rFonts w:eastAsia="Times New Roman" w:cs="Times New Roman" w:ascii="Times New Roman" w:hAnsi="Times New Roman"/>
                      </w:rPr>
                      <w:fldChar w:fldCharType="end"/>
                    </w:r>
                  </w:p>
                </w:txbxContent>
              </v:textbox>
              <w10:wrap type="topAndBottom"/>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start"/>
      <w:pPr>
        <w:ind w:start="1080" w:hanging="360"/>
      </w:pPr>
      <w:rPr>
        <w:sz w:val="24"/>
        <w:rFonts w:ascii="Times New Roman" w:hAnsi="Times New Roman" w:cs="Times New Roman"/>
      </w:rPr>
    </w:lvl>
    <w:lvl w:ilvl="1">
      <w:start w:val="1"/>
      <w:numFmt w:val="lowerLetter"/>
      <w:lvlText w:val="%2."/>
      <w:lvlJc w:val="start"/>
      <w:pPr>
        <w:ind w:start="1800" w:hanging="360"/>
      </w:pPr>
      <w:rPr>
        <w:rFonts w:cs="Times New Roman"/>
      </w:rPr>
    </w:lvl>
    <w:lvl w:ilvl="2">
      <w:start w:val="1"/>
      <w:numFmt w:val="lowerRoman"/>
      <w:lvlText w:val="%3."/>
      <w:lvlJc w:val="end"/>
      <w:pPr>
        <w:ind w:start="2520" w:hanging="180"/>
      </w:pPr>
      <w:rPr>
        <w:rFonts w:cs="Times New Roman"/>
      </w:rPr>
    </w:lvl>
    <w:lvl w:ilvl="3">
      <w:start w:val="1"/>
      <w:numFmt w:val="decimal"/>
      <w:lvlText w:val="%4."/>
      <w:lvlJc w:val="start"/>
      <w:pPr>
        <w:ind w:start="3240" w:hanging="360"/>
      </w:pPr>
      <w:rPr>
        <w:rFonts w:cs="Times New Roman"/>
      </w:rPr>
    </w:lvl>
    <w:lvl w:ilvl="4">
      <w:start w:val="1"/>
      <w:numFmt w:val="lowerLetter"/>
      <w:lvlText w:val="%5."/>
      <w:lvlJc w:val="start"/>
      <w:pPr>
        <w:ind w:start="3960" w:hanging="360"/>
      </w:pPr>
      <w:rPr>
        <w:rFonts w:cs="Times New Roman"/>
      </w:rPr>
    </w:lvl>
    <w:lvl w:ilvl="5">
      <w:start w:val="1"/>
      <w:numFmt w:val="lowerRoman"/>
      <w:lvlText w:val="%6."/>
      <w:lvlJc w:val="end"/>
      <w:pPr>
        <w:ind w:start="4680" w:hanging="180"/>
      </w:pPr>
      <w:rPr>
        <w:rFonts w:cs="Times New Roman"/>
      </w:rPr>
    </w:lvl>
    <w:lvl w:ilvl="6">
      <w:start w:val="1"/>
      <w:numFmt w:val="decimal"/>
      <w:lvlText w:val="%7."/>
      <w:lvlJc w:val="start"/>
      <w:pPr>
        <w:ind w:start="5400" w:hanging="360"/>
      </w:pPr>
      <w:rPr>
        <w:rFonts w:cs="Times New Roman"/>
      </w:rPr>
    </w:lvl>
    <w:lvl w:ilvl="7">
      <w:start w:val="1"/>
      <w:numFmt w:val="lowerLetter"/>
      <w:lvlText w:val="%8."/>
      <w:lvlJc w:val="start"/>
      <w:pPr>
        <w:ind w:start="6120" w:hanging="360"/>
      </w:pPr>
      <w:rPr>
        <w:rFonts w:cs="Times New Roman"/>
      </w:rPr>
    </w:lvl>
    <w:lvl w:ilvl="8">
      <w:start w:val="1"/>
      <w:numFmt w:val="lowerRoman"/>
      <w:lvlText w:val="%9."/>
      <w:lvlJc w:val="end"/>
      <w:pPr>
        <w:ind w:start="6840" w:hanging="180"/>
      </w:pPr>
      <w:rPr>
        <w:rFonts w:cs="Times New Roman"/>
      </w:rPr>
    </w:lvl>
  </w:abstractNum>
  <w:abstractNum w:abstractNumId="2">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bering>
</file>

<file path=word/settings.xml><?xml version="1.0" encoding="utf-8"?>
<w:settings xmlns:w="http://schemas.openxmlformats.org/wordprocessingml/2006/main">
  <w:zoom w:percent="133"/>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kern w:val="2"/>
        <w:sz w:val="24"/>
        <w:szCs w:val="24"/>
        <w:lang w:val="en-US" w:eastAsia="zh-CN" w:bidi="hi-IN"/>
      </w:rPr>
    </w:rPrDefault>
    <w:pPrDefault>
      <w:pPr/>
    </w:pPrDefault>
  </w:docDefaults>
  <w:style w:type="paragraph" w:styleId="Normal">
    <w:name w:val="Normal"/>
    <w:qFormat/>
    <w:pPr>
      <w:widowControl w:val="false"/>
      <w:bidi w:val="0"/>
      <w:jc w:val="start"/>
      <w:textAlignment w:val="auto"/>
    </w:pPr>
    <w:rPr>
      <w:rFonts w:ascii="Fixedsys" w:hAnsi="Fixedsys" w:eastAsia="Times New Roman" w:cs="Fixedsys"/>
      <w:color w:val="auto"/>
      <w:kern w:val="2"/>
      <w:sz w:val="20"/>
      <w:szCs w:val="20"/>
      <w:lang w:val="en-US" w:eastAsia="en-US" w:bidi="ar-SA"/>
    </w:rPr>
  </w:style>
  <w:style w:type="paragraph" w:styleId="Heading1">
    <w:name w:val="Heading 1"/>
    <w:basedOn w:val="Normal"/>
    <w:qFormat/>
    <w:pPr>
      <w:keepNext w:val="true"/>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jc w:val="end"/>
      <w:textAlignment w:val="auto"/>
      <w:outlineLvl w:val="0"/>
    </w:pPr>
    <w:rPr>
      <w:rFonts w:ascii="Fixedsys" w:hAnsi="Fixedsys" w:eastAsia="Times New Roman" w:cs="Fixedsys"/>
      <w:i/>
      <w:iCs/>
      <w:sz w:val="20"/>
      <w:szCs w:val="20"/>
      <w:lang w:val="en-US" w:eastAsia="en-US" w:bidi="ar-SA"/>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Cambria"/>
      <w:b/>
      <w:bCs/>
      <w:kern w:val="2"/>
      <w:sz w:val="32"/>
      <w:szCs w:val="32"/>
    </w:rPr>
  </w:style>
  <w:style w:type="character" w:styleId="InitialStyle">
    <w:name w:val="InitialStyle"/>
    <w:qFormat/>
    <w:rPr/>
  </w:style>
  <w:style w:type="character" w:styleId="42">
    <w:name w:val="42"/>
    <w:qFormat/>
    <w:rPr/>
  </w:style>
  <w:style w:type="character" w:styleId="FooterChar">
    <w:name w:val="Footer Char"/>
    <w:basedOn w:val="DefaultParagraphFont"/>
    <w:qFormat/>
    <w:rPr>
      <w:rFonts w:ascii="Fixedsys" w:hAnsi="Fixedsys" w:cs="Fixedsys"/>
      <w:sz w:val="20"/>
      <w:szCs w:val="20"/>
    </w:rPr>
  </w:style>
  <w:style w:type="character" w:styleId="Pagenumber">
    <w:name w:val="page number"/>
    <w:basedOn w:val="DefaultParagraphFont"/>
    <w:qFormat/>
    <w:rPr>
      <w:rFonts w:cs="Times New Roman"/>
    </w:rPr>
  </w:style>
  <w:style w:type="character" w:styleId="HeaderChar">
    <w:name w:val="Header Char"/>
    <w:basedOn w:val="DefaultParagraphFont"/>
    <w:qFormat/>
    <w:rPr>
      <w:rFonts w:ascii="Fixedsys" w:hAnsi="Fixedsys" w:cs="Fixedsys"/>
      <w:sz w:val="20"/>
      <w:szCs w:val="20"/>
    </w:rPr>
  </w:style>
  <w:style w:type="character" w:styleId="InternetLink">
    <w:name w:val="Internet Link"/>
    <w:basedOn w:val="DefaultParagraphFont"/>
    <w:rPr>
      <w:rFonts w:cs="Times New Roman"/>
      <w:color w:val="0000FF"/>
      <w:u w:val="single"/>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ascii="Times New Roman" w:hAnsi="Times New Roman" w:cs="Times New Roman"/>
      <w:sz w:val="24"/>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DocumentMap">
    <w:name w:val="DocumentMap"/>
    <w:qFormat/>
    <w:pPr>
      <w:widowControl/>
      <w:bidi w:val="0"/>
      <w:spacing w:lineRule="auto" w:line="276" w:before="0" w:after="200"/>
      <w:jc w:val="start"/>
      <w:textAlignment w:val="auto"/>
    </w:pPr>
    <w:rPr>
      <w:rFonts w:ascii="Calibri" w:hAnsi="Calibri" w:eastAsia="Times New Roman" w:cs="Calibri"/>
      <w:color w:val="auto"/>
      <w:kern w:val="2"/>
      <w:sz w:val="22"/>
      <w:szCs w:val="22"/>
      <w:lang w:val="en-US" w:eastAsia="en-US" w:bidi="ar-SA"/>
    </w:rPr>
  </w:style>
  <w:style w:type="paragraph" w:styleId="WPDefaults">
    <w:name w:val="WP Defaults"/>
    <w:qFormat/>
    <w:pPr>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jc w:val="start"/>
      <w:textAlignment w:val="auto"/>
    </w:pPr>
    <w:rPr>
      <w:rFonts w:ascii="Fixedsys" w:hAnsi="Fixedsys" w:eastAsia="Times New Roman" w:cs="Fixedsys"/>
      <w:color w:val="auto"/>
      <w:kern w:val="2"/>
      <w:sz w:val="24"/>
      <w:szCs w:val="24"/>
      <w:lang w:val="en-US" w:eastAsia="en-US" w:bidi="ar-SA"/>
    </w:rPr>
  </w:style>
  <w:style w:type="paragraph" w:styleId="Outline1">
    <w:name w:val="Outline 1"/>
    <w:qFormat/>
    <w:pPr>
      <w:widowControl w:val="false"/>
      <w:bidi w:val="0"/>
      <w:spacing w:lineRule="atLeast" w:line="240"/>
      <w:jc w:val="start"/>
      <w:textAlignment w:val="auto"/>
    </w:pPr>
    <w:rPr>
      <w:rFonts w:ascii="Fixedsys" w:hAnsi="Fixedsys" w:eastAsia="Times New Roman" w:cs="Fixedsys"/>
      <w:b/>
      <w:bCs/>
      <w:color w:val="auto"/>
      <w:kern w:val="2"/>
      <w:sz w:val="24"/>
      <w:szCs w:val="24"/>
      <w:lang w:val="en-US" w:eastAsia="en-US" w:bidi="ar-SA"/>
    </w:rPr>
  </w:style>
  <w:style w:type="paragraph" w:styleId="Outline2">
    <w:name w:val="Outline 2"/>
    <w:qFormat/>
    <w:pPr>
      <w:widowControl w:val="false"/>
      <w:bidi w:val="0"/>
      <w:spacing w:lineRule="atLeast" w:line="240"/>
      <w:jc w:val="start"/>
      <w:textAlignment w:val="auto"/>
    </w:pPr>
    <w:rPr>
      <w:rFonts w:ascii="Fixedsys" w:hAnsi="Fixedsys" w:eastAsia="Times New Roman" w:cs="Fixedsys"/>
      <w:b/>
      <w:bCs/>
      <w:color w:val="auto"/>
      <w:kern w:val="2"/>
      <w:sz w:val="24"/>
      <w:szCs w:val="24"/>
      <w:lang w:val="en-US" w:eastAsia="en-US" w:bidi="ar-SA"/>
    </w:rPr>
  </w:style>
  <w:style w:type="paragraph" w:styleId="Outline3">
    <w:name w:val="Outline 3"/>
    <w:qFormat/>
    <w:pPr>
      <w:widowControl w:val="false"/>
      <w:bidi w:val="0"/>
      <w:spacing w:lineRule="atLeast" w:line="240"/>
      <w:ind w:start="2880" w:hanging="0"/>
      <w:jc w:val="start"/>
      <w:textAlignment w:val="auto"/>
    </w:pPr>
    <w:rPr>
      <w:rFonts w:ascii="Fixedsys" w:hAnsi="Fixedsys" w:eastAsia="Times New Roman" w:cs="Fixedsys"/>
      <w:color w:val="auto"/>
      <w:kern w:val="2"/>
      <w:sz w:val="24"/>
      <w:szCs w:val="24"/>
      <w:lang w:val="en-US" w:eastAsia="en-US" w:bidi="ar-SA"/>
    </w:rPr>
  </w:style>
  <w:style w:type="paragraph" w:styleId="Outline4">
    <w:name w:val="Outline 4"/>
    <w:qFormat/>
    <w:pPr>
      <w:widowControl w:val="false"/>
      <w:bidi w:val="0"/>
      <w:spacing w:lineRule="atLeast" w:line="240"/>
      <w:ind w:start="3600" w:hanging="0"/>
      <w:jc w:val="start"/>
      <w:textAlignment w:val="auto"/>
    </w:pPr>
    <w:rPr>
      <w:rFonts w:ascii="Fixedsys" w:hAnsi="Fixedsys" w:eastAsia="Times New Roman" w:cs="Fixedsys"/>
      <w:color w:val="auto"/>
      <w:kern w:val="2"/>
      <w:sz w:val="24"/>
      <w:szCs w:val="24"/>
      <w:lang w:val="en-US" w:eastAsia="en-US" w:bidi="ar-SA"/>
    </w:rPr>
  </w:style>
  <w:style w:type="paragraph" w:styleId="Outline5">
    <w:name w:val="Outline 5"/>
    <w:qFormat/>
    <w:pPr>
      <w:widowControl w:val="false"/>
      <w:bidi w:val="0"/>
      <w:spacing w:lineRule="atLeast" w:line="240"/>
      <w:ind w:start="4320" w:hanging="0"/>
      <w:jc w:val="start"/>
      <w:textAlignment w:val="auto"/>
    </w:pPr>
    <w:rPr>
      <w:rFonts w:ascii="Fixedsys" w:hAnsi="Fixedsys" w:eastAsia="Times New Roman" w:cs="Fixedsys"/>
      <w:color w:val="auto"/>
      <w:kern w:val="2"/>
      <w:sz w:val="24"/>
      <w:szCs w:val="24"/>
      <w:lang w:val="en-US" w:eastAsia="en-US" w:bidi="ar-SA"/>
    </w:rPr>
  </w:style>
  <w:style w:type="paragraph" w:styleId="Outline6">
    <w:name w:val="Outline 6"/>
    <w:qFormat/>
    <w:pPr>
      <w:widowControl w:val="false"/>
      <w:bidi w:val="0"/>
      <w:spacing w:lineRule="atLeast" w:line="240"/>
      <w:ind w:start="4320" w:hanging="0"/>
      <w:jc w:val="start"/>
      <w:textAlignment w:val="auto"/>
    </w:pPr>
    <w:rPr>
      <w:rFonts w:ascii="Fixedsys" w:hAnsi="Fixedsys" w:eastAsia="Times New Roman" w:cs="Fixedsys"/>
      <w:color w:val="auto"/>
      <w:kern w:val="2"/>
      <w:sz w:val="24"/>
      <w:szCs w:val="24"/>
      <w:lang w:val="en-US" w:eastAsia="en-US" w:bidi="ar-SA"/>
    </w:rPr>
  </w:style>
  <w:style w:type="paragraph" w:styleId="Outline7">
    <w:name w:val="Outline 7"/>
    <w:qFormat/>
    <w:pPr>
      <w:widowControl w:val="false"/>
      <w:bidi w:val="0"/>
      <w:spacing w:lineRule="atLeast" w:line="240"/>
      <w:ind w:start="5040" w:hanging="0"/>
      <w:jc w:val="start"/>
      <w:textAlignment w:val="auto"/>
    </w:pPr>
    <w:rPr>
      <w:rFonts w:ascii="Fixedsys" w:hAnsi="Fixedsys" w:eastAsia="Times New Roman" w:cs="Fixedsys"/>
      <w:color w:val="auto"/>
      <w:kern w:val="2"/>
      <w:sz w:val="24"/>
      <w:szCs w:val="24"/>
      <w:lang w:val="en-US" w:eastAsia="en-US" w:bidi="ar-SA"/>
    </w:rPr>
  </w:style>
  <w:style w:type="paragraph" w:styleId="Outline8">
    <w:name w:val="Outline 8"/>
    <w:qFormat/>
    <w:pPr>
      <w:widowControl w:val="false"/>
      <w:bidi w:val="0"/>
      <w:spacing w:lineRule="atLeast" w:line="240"/>
      <w:ind w:start="5760" w:hanging="0"/>
      <w:jc w:val="start"/>
      <w:textAlignment w:val="auto"/>
    </w:pPr>
    <w:rPr>
      <w:rFonts w:ascii="Fixedsys" w:hAnsi="Fixedsys" w:eastAsia="Times New Roman" w:cs="Fixedsys"/>
      <w:color w:val="auto"/>
      <w:kern w:val="2"/>
      <w:sz w:val="24"/>
      <w:szCs w:val="24"/>
      <w:lang w:val="en-US" w:eastAsia="en-US" w:bidi="ar-SA"/>
    </w:rPr>
  </w:style>
  <w:style w:type="paragraph" w:styleId="Footer">
    <w:name w:val="Footer"/>
    <w:basedOn w:val="Normal"/>
    <w:pPr>
      <w:widowControl w:val="false"/>
      <w:tabs>
        <w:tab w:val="clear" w:pos="720"/>
        <w:tab w:val="center" w:pos="4320" w:leader="none"/>
        <w:tab w:val="right" w:pos="8640" w:leader="none"/>
      </w:tabs>
      <w:jc w:val="start"/>
      <w:textAlignment w:val="auto"/>
    </w:pPr>
    <w:rPr>
      <w:rFonts w:ascii="Fixedsys" w:hAnsi="Fixedsys" w:eastAsia="Times New Roman" w:cs="Fixedsys"/>
      <w:sz w:val="20"/>
      <w:szCs w:val="20"/>
      <w:lang w:val="en-US" w:eastAsia="en-US" w:bidi="ar-SA"/>
    </w:rPr>
  </w:style>
  <w:style w:type="paragraph" w:styleId="Header">
    <w:name w:val="Header"/>
    <w:basedOn w:val="Normal"/>
    <w:pPr>
      <w:widowControl w:val="false"/>
      <w:tabs>
        <w:tab w:val="clear" w:pos="720"/>
        <w:tab w:val="center" w:pos="4320" w:leader="none"/>
        <w:tab w:val="right" w:pos="8640" w:leader="none"/>
      </w:tabs>
      <w:jc w:val="start"/>
      <w:textAlignment w:val="auto"/>
    </w:pPr>
    <w:rPr>
      <w:rFonts w:ascii="Fixedsys" w:hAnsi="Fixedsys" w:eastAsia="Times New Roman" w:cs="Fixedsys"/>
      <w:sz w:val="20"/>
      <w:szCs w:val="20"/>
      <w:lang w:val="en-US" w:eastAsia="en-US" w:bidi="ar-SA"/>
    </w:rPr>
  </w:style>
  <w:style w:type="paragraph" w:styleId="ListParagraph">
    <w:name w:val="List Paragraph"/>
    <w:basedOn w:val="Normal"/>
    <w:qFormat/>
    <w:pPr>
      <w:widowControl w:val="false"/>
      <w:ind w:start="720" w:hanging="0"/>
      <w:jc w:val="start"/>
      <w:textAlignment w:val="auto"/>
    </w:pPr>
    <w:rPr>
      <w:rFonts w:ascii="Fixedsys" w:hAnsi="Fixedsys" w:eastAsia="Times New Roman" w:cs="Fixedsys"/>
      <w:sz w:val="20"/>
      <w:szCs w:val="20"/>
      <w:lang w:val="en-US" w:eastAsia="en-US" w:bidi="ar-SA"/>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LibreOffice/6.1.5.2$Linux_X86_64 LibreOffice_project/10$Build-2</Application>
  <Pages>99</Pages>
  <Words>568</Words>
  <Characters>3800</Characters>
  <CharactersWithSpaces>3239</CharactersWithSpaces>
  <Company>Minnesota School Boards Association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2015-06-10T16:02:00Z</dcterms:created>
  <dc:creator>shonetschlager</dc:creator>
  <dc:description/>
  <dc:language>en-US</dc:language>
  <cp:lastModifiedBy/>
  <cp:lastPrinted>2015-04-21T11:22:00Z</cp:lastPrinted>
  <dcterms:modified xsi:type="dcterms:W3CDTF">2015-06-10T16:02:00Z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Minnesota School Boards Association</vt:lpwstr>
  </property>
  <property fmtid="{D5CDD505-2E9C-101B-9397-08002B2CF9AE}" pid="3" name="Operator">
    <vt:lpwstr>Sandy Lemcke</vt:lpwstr>
  </property>
</Properties>
</file>