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287B" w:rsidRDefault="00E64E2D">
      <w:pPr>
        <w:jc w:val="center"/>
      </w:pPr>
      <w:r>
        <w:rPr>
          <w:b/>
          <w:sz w:val="34"/>
          <w:szCs w:val="34"/>
        </w:rPr>
        <w:t>Local Literacy Plan</w:t>
      </w:r>
      <w:r>
        <w:rPr>
          <w:b/>
          <w:sz w:val="32"/>
          <w:szCs w:val="32"/>
        </w:rPr>
        <w:br/>
      </w:r>
      <w:r>
        <w:rPr>
          <w:b/>
          <w:sz w:val="30"/>
          <w:szCs w:val="30"/>
        </w:rPr>
        <w:t xml:space="preserve">Lester Prairie Schools, District 424 </w:t>
      </w:r>
      <w:r>
        <w:rPr>
          <w:b/>
          <w:sz w:val="32"/>
          <w:szCs w:val="32"/>
        </w:rPr>
        <w:br/>
      </w:r>
      <w:r>
        <w:rPr>
          <w:sz w:val="30"/>
          <w:szCs w:val="30"/>
        </w:rPr>
        <w:t>2024-2025 School Year</w:t>
      </w:r>
      <w:r>
        <w:rPr>
          <w:sz w:val="20"/>
          <w:szCs w:val="20"/>
        </w:rPr>
        <w:br/>
      </w:r>
      <w:r>
        <w:t>Updated: May 31, 2024</w:t>
      </w:r>
    </w:p>
    <w:p w14:paraId="00000002" w14:textId="77777777" w:rsidR="00A3287B" w:rsidRDefault="00E64E2D">
      <w:r>
        <w:t xml:space="preserve">To support every child reading at​ or above grade level every year, beginning in kindergarten, and to support multilingual​ learners and students receiving special education services in achieving their individualized​ reading goals in order to meet grade level proficiency, a school district or charter school must​ adopt a local literacy plan that describes how they are working to meet that goal. A district must update​ and submit the plan to the commissioner by June 15 each year </w:t>
      </w:r>
      <w:hyperlink r:id="rId8">
        <w:r>
          <w:rPr>
            <w:color w:val="0563C1"/>
            <w:u w:val="single"/>
          </w:rPr>
          <w:t xml:space="preserve">Minn. Stat.120B.12, </w:t>
        </w:r>
        <w:proofErr w:type="spellStart"/>
        <w:r>
          <w:rPr>
            <w:color w:val="0563C1"/>
            <w:u w:val="single"/>
          </w:rPr>
          <w:t>subd</w:t>
        </w:r>
        <w:proofErr w:type="spellEnd"/>
        <w:r>
          <w:rPr>
            <w:color w:val="0563C1"/>
            <w:u w:val="single"/>
          </w:rPr>
          <w:t>. 4a (2023)</w:t>
        </w:r>
      </w:hyperlink>
      <w:r>
        <w:t xml:space="preserve">. </w:t>
      </w:r>
    </w:p>
    <w:p w14:paraId="00000003" w14:textId="77777777" w:rsidR="00A3287B" w:rsidRDefault="00E64E2D">
      <w:r>
        <w:t>Our district’s Local Literacy Plan for the 2024-25 school year has been approved by our School Board and is posted on our website.</w:t>
      </w:r>
    </w:p>
    <w:p w14:paraId="00000004" w14:textId="77777777" w:rsidR="00A3287B" w:rsidRDefault="00E64E2D">
      <w:pPr>
        <w:pStyle w:val="Heading2"/>
        <w:rPr>
          <w:color w:val="000000"/>
        </w:rPr>
      </w:pPr>
      <w:bookmarkStart w:id="0" w:name="_heading=h.xk23km4bxpeh" w:colFirst="0" w:colLast="0"/>
      <w:bookmarkEnd w:id="0"/>
      <w:r>
        <w:rPr>
          <w:color w:val="000000"/>
          <w:sz w:val="22"/>
          <w:szCs w:val="22"/>
        </w:rPr>
        <w:t>Minnesota READ Act Goal</w:t>
      </w:r>
      <w:r>
        <w:rPr>
          <w:color w:val="000000"/>
          <w:sz w:val="22"/>
          <w:szCs w:val="22"/>
        </w:rPr>
        <w:br/>
      </w:r>
      <w:r>
        <w:rPr>
          <w:b w:val="0"/>
          <w:color w:val="000000"/>
          <w:sz w:val="22"/>
          <w:szCs w:val="22"/>
        </w:rPr>
        <w:t xml:space="preserve">The goal of the READ Act is to have every Minnesota child reading at or above grade level every year, beginning in kindergarten, and to support multilingual learners and students receiving special education services in achieving their individualized reading goals </w:t>
      </w:r>
      <w:hyperlink r:id="rId9">
        <w:r>
          <w:rPr>
            <w:b w:val="0"/>
            <w:color w:val="1155CC"/>
            <w:sz w:val="22"/>
            <w:szCs w:val="22"/>
            <w:u w:val="single"/>
          </w:rPr>
          <w:t>Minn. Stat. 120B.12 (2023)</w:t>
        </w:r>
      </w:hyperlink>
      <w:r>
        <w:rPr>
          <w:b w:val="0"/>
          <w:color w:val="000000"/>
          <w:sz w:val="22"/>
          <w:szCs w:val="22"/>
        </w:rPr>
        <w:t>.</w:t>
      </w:r>
    </w:p>
    <w:p w14:paraId="00000005" w14:textId="77777777" w:rsidR="00A3287B" w:rsidRDefault="00E64E2D">
      <w:pPr>
        <w:pStyle w:val="Heading2"/>
      </w:pPr>
      <w:bookmarkStart w:id="1" w:name="_heading=h.dpkrrezoojz" w:colFirst="0" w:colLast="0"/>
      <w:bookmarkEnd w:id="1"/>
      <w:r>
        <w:rPr>
          <w:color w:val="000000"/>
          <w:sz w:val="22"/>
          <w:szCs w:val="22"/>
        </w:rPr>
        <w:t>District’s Literacy Goals for 2024-25 School Year</w:t>
      </w:r>
      <w:r>
        <w:rPr>
          <w:color w:val="000000"/>
        </w:rPr>
        <w:br/>
      </w:r>
      <w:r>
        <w:rPr>
          <w:b w:val="0"/>
          <w:color w:val="000000"/>
          <w:sz w:val="22"/>
          <w:szCs w:val="22"/>
        </w:rPr>
        <w:t>Lester Prairie will focus on enhancing the implementation of evidence-based literacy instruction during the 2024-25 school year. Professional development will be offered for K-3 educators, special education staff providing reading instruction, and reading intervention educators. In addition, we will evaluate our Tier 1 curriculum and intervention resources to ensure alignment with evidence-based practices. Guidance provided by the Minnesota Department of Education will be continuously reviewed and incorpor</w:t>
      </w:r>
      <w:r>
        <w:rPr>
          <w:b w:val="0"/>
          <w:color w:val="000000"/>
          <w:sz w:val="22"/>
          <w:szCs w:val="22"/>
        </w:rPr>
        <w:t>ated to guide us toward full implementation of evidence-based literacy instruction.</w:t>
      </w:r>
    </w:p>
    <w:p w14:paraId="00000006" w14:textId="77777777" w:rsidR="00A3287B" w:rsidRDefault="00E64E2D">
      <w:pPr>
        <w:pStyle w:val="Heading2"/>
        <w:rPr>
          <w:b w:val="0"/>
          <w:color w:val="000000"/>
          <w:sz w:val="22"/>
          <w:szCs w:val="22"/>
        </w:rPr>
      </w:pPr>
      <w:bookmarkStart w:id="2" w:name="_heading=h.6gmxwf74fjki" w:colFirst="0" w:colLast="0"/>
      <w:bookmarkEnd w:id="2"/>
      <w:r>
        <w:rPr>
          <w:color w:val="000000"/>
          <w:sz w:val="22"/>
          <w:szCs w:val="22"/>
        </w:rPr>
        <w:t>Universal and Dyslexia Screening</w:t>
      </w:r>
      <w:r>
        <w:rPr>
          <w:color w:val="000000"/>
          <w:sz w:val="22"/>
          <w:szCs w:val="22"/>
        </w:rPr>
        <w:br/>
      </w:r>
      <w:r>
        <w:rPr>
          <w:b w:val="0"/>
          <w:color w:val="000000"/>
          <w:sz w:val="22"/>
          <w:szCs w:val="22"/>
        </w:rPr>
        <w:t xml:space="preserve">Lester Prairie is utilizing </w:t>
      </w:r>
      <w:proofErr w:type="spellStart"/>
      <w:r>
        <w:rPr>
          <w:b w:val="0"/>
          <w:color w:val="000000"/>
          <w:sz w:val="22"/>
          <w:szCs w:val="22"/>
        </w:rPr>
        <w:t>FastBridge</w:t>
      </w:r>
      <w:proofErr w:type="spellEnd"/>
      <w:r>
        <w:rPr>
          <w:b w:val="0"/>
          <w:color w:val="000000"/>
          <w:sz w:val="22"/>
          <w:szCs w:val="22"/>
        </w:rPr>
        <w:t xml:space="preserve"> as our universal and dyslexia screeners. In kindergarten and first grade, we are using the </w:t>
      </w:r>
      <w:proofErr w:type="spellStart"/>
      <w:r>
        <w:rPr>
          <w:b w:val="0"/>
          <w:color w:val="000000"/>
          <w:sz w:val="22"/>
          <w:szCs w:val="22"/>
        </w:rPr>
        <w:t>earlyReading</w:t>
      </w:r>
      <w:proofErr w:type="spellEnd"/>
      <w:r>
        <w:rPr>
          <w:b w:val="0"/>
          <w:color w:val="000000"/>
          <w:sz w:val="22"/>
          <w:szCs w:val="22"/>
        </w:rPr>
        <w:t xml:space="preserve"> assessment. </w:t>
      </w:r>
      <w:proofErr w:type="spellStart"/>
      <w:r>
        <w:rPr>
          <w:b w:val="0"/>
          <w:color w:val="000000"/>
          <w:sz w:val="22"/>
          <w:szCs w:val="22"/>
        </w:rPr>
        <w:t>EarlyReading</w:t>
      </w:r>
      <w:proofErr w:type="spellEnd"/>
      <w:r>
        <w:rPr>
          <w:b w:val="0"/>
          <w:color w:val="000000"/>
          <w:sz w:val="22"/>
          <w:szCs w:val="22"/>
        </w:rPr>
        <w:t xml:space="preserve"> is an assessment of essential early reading skills including concepts of print, phonemic awareness, phonics and fluency. In first, second, and third grade we are utilizing the </w:t>
      </w:r>
      <w:proofErr w:type="spellStart"/>
      <w:r>
        <w:rPr>
          <w:b w:val="0"/>
          <w:color w:val="000000"/>
          <w:sz w:val="22"/>
          <w:szCs w:val="22"/>
        </w:rPr>
        <w:t>CBMreading</w:t>
      </w:r>
      <w:proofErr w:type="spellEnd"/>
      <w:r>
        <w:rPr>
          <w:b w:val="0"/>
          <w:color w:val="000000"/>
          <w:sz w:val="22"/>
          <w:szCs w:val="22"/>
        </w:rPr>
        <w:t xml:space="preserve"> assessment. </w:t>
      </w:r>
      <w:proofErr w:type="spellStart"/>
      <w:r>
        <w:rPr>
          <w:b w:val="0"/>
          <w:color w:val="000000"/>
          <w:sz w:val="22"/>
          <w:szCs w:val="22"/>
        </w:rPr>
        <w:t>CBMreading</w:t>
      </w:r>
      <w:proofErr w:type="spellEnd"/>
      <w:r>
        <w:rPr>
          <w:b w:val="0"/>
          <w:color w:val="000000"/>
          <w:sz w:val="22"/>
          <w:szCs w:val="22"/>
        </w:rPr>
        <w:t xml:space="preserve"> is an assessment of print concepts, phonological awareness, phonics and word recognition, and fluency. Data will be collected in the </w:t>
      </w:r>
      <w:r>
        <w:rPr>
          <w:b w:val="0"/>
          <w:color w:val="000000"/>
          <w:sz w:val="22"/>
          <w:szCs w:val="22"/>
        </w:rPr>
        <w:t xml:space="preserve">fall and spring. </w:t>
      </w:r>
    </w:p>
    <w:p w14:paraId="00000007" w14:textId="77777777" w:rsidR="00A3287B" w:rsidRDefault="00E64E2D">
      <w:pPr>
        <w:pStyle w:val="Heading2"/>
        <w:rPr>
          <w:b w:val="0"/>
          <w:color w:val="000000"/>
          <w:sz w:val="22"/>
          <w:szCs w:val="22"/>
        </w:rPr>
      </w:pPr>
      <w:bookmarkStart w:id="3" w:name="_heading=h.y4njfoktmjfs" w:colFirst="0" w:colLast="0"/>
      <w:bookmarkEnd w:id="3"/>
      <w:r>
        <w:rPr>
          <w:b w:val="0"/>
          <w:color w:val="000000"/>
          <w:sz w:val="22"/>
          <w:szCs w:val="22"/>
        </w:rPr>
        <w:t>In grades 4-12, we are waiting for further guidance from the Minnesota Department of Education to determine an appropriate screening measure for students who do not demonstrate mastery of foundational reading skills.</w:t>
      </w:r>
    </w:p>
    <w:p w14:paraId="00000008" w14:textId="77777777" w:rsidR="00A3287B" w:rsidRDefault="00E64E2D">
      <w:r>
        <w:rPr>
          <w:b/>
        </w:rPr>
        <w:t>Parent Notification and Involvement</w:t>
      </w:r>
      <w:r>
        <w:rPr>
          <w:b/>
        </w:rPr>
        <w:br/>
      </w:r>
      <w:r>
        <w:t xml:space="preserve">Measures of proficiency and progress are shared with parents and guardians at conferences in the fall and winter. Our district will utilize the parent letter in </w:t>
      </w:r>
      <w:proofErr w:type="spellStart"/>
      <w:r>
        <w:t>FastBridge</w:t>
      </w:r>
      <w:proofErr w:type="spellEnd"/>
      <w:r>
        <w:t xml:space="preserve"> to provide information about progress to parents </w:t>
      </w:r>
      <w:r>
        <w:lastRenderedPageBreak/>
        <w:t>and guardians. Information will be shared with parents on strategies that can be used at home to support their child’s growth in reading.</w:t>
      </w:r>
    </w:p>
    <w:p w14:paraId="00000009" w14:textId="77777777" w:rsidR="00A3287B" w:rsidRDefault="00E64E2D">
      <w:r>
        <w:rPr>
          <w:b/>
        </w:rPr>
        <w:t>Core Reading Instruction and Curricula in Grades K-5</w:t>
      </w:r>
      <w:r>
        <w:rPr>
          <w:b/>
        </w:rPr>
        <w:br/>
      </w:r>
      <w:r>
        <w:t>Lester Prairie is currently waiting for further guidance from the Minnesota Department of Education on approved core reading curricula to best meet the needs of our students.  Our core reading instruction is based on the Minnesota Department of Education Standards.</w:t>
      </w:r>
    </w:p>
    <w:p w14:paraId="0000000A" w14:textId="77777777" w:rsidR="00A3287B" w:rsidRDefault="00E64E2D">
      <w:r>
        <w:rPr>
          <w:b/>
        </w:rPr>
        <w:t>Core ELA Instruction and Curricula in Grades 6-12</w:t>
      </w:r>
      <w:r>
        <w:rPr>
          <w:b/>
        </w:rPr>
        <w:br/>
      </w:r>
      <w:r>
        <w:t>Lester Prairie is currently waiting for further guidance from the Minnesota Department of Education on approved core ELA curricula to consider. Our core ELA instruction is based on the Minnesota Department of Education Standards.</w:t>
      </w:r>
    </w:p>
    <w:p w14:paraId="0000000B" w14:textId="77777777" w:rsidR="00A3287B" w:rsidRDefault="00E64E2D">
      <w:r>
        <w:rPr>
          <w:b/>
        </w:rPr>
        <w:t>Data and Decision Making for Literacy Interventions</w:t>
      </w:r>
      <w:r>
        <w:rPr>
          <w:color w:val="0563C1"/>
          <w:u w:val="single"/>
        </w:rPr>
        <w:br/>
      </w:r>
      <w:r>
        <w:t>Lester Prairie has implemented and continuously strives to improve the implementation of the Minnesota Multi-Tiered Systems of Support (</w:t>
      </w:r>
      <w:proofErr w:type="spellStart"/>
      <w:r>
        <w:t>MnMTSS</w:t>
      </w:r>
      <w:proofErr w:type="spellEnd"/>
      <w:r>
        <w:t>) Framework. The district analyzes student outcomes and needs to design and deliver ongoing evidence-based instruction and interventions. Targeted instruction is guided by various data and assessments. The district monitors student progress and evaluates the fidelity of its programs. Continuous improvements will be informed by relevant guidance from the READ Act.</w:t>
      </w:r>
    </w:p>
    <w:p w14:paraId="0000000C" w14:textId="77777777" w:rsidR="00A3287B" w:rsidRDefault="00E64E2D">
      <w:r>
        <w:rPr>
          <w:b/>
        </w:rPr>
        <w:t>Professional Development Plan</w:t>
      </w:r>
      <w:r>
        <w:rPr>
          <w:b/>
        </w:rPr>
        <w:br/>
      </w:r>
      <w:r>
        <w:t xml:space="preserve">Districts are required to provide access to an approved READ Act-funded professional development program for educators in two phases. </w:t>
      </w:r>
    </w:p>
    <w:p w14:paraId="0000000D" w14:textId="77777777" w:rsidR="00A3287B" w:rsidRDefault="00E64E2D">
      <w:r>
        <w:t>Phase 1 - Lester Prairie educators will receive access to Minnesota Department of Education approved training during the 2024-25 school year.  K-3 educators, special education staff providing reading instruction, and reading intervention educators will participate in LETRS (Language Essentials for Teachers of Reading and Spelling) through Lexia. Our district is awaiting further guidance from the Minnesota Department of Education on approved training programs for instructional support staff.</w:t>
      </w:r>
    </w:p>
    <w:p w14:paraId="0000000E" w14:textId="77777777" w:rsidR="00A3287B" w:rsidRDefault="00E64E2D">
      <w:pPr>
        <w:rPr>
          <w:b/>
        </w:rPr>
      </w:pPr>
      <w:r>
        <w:t>Phase 2 - Our district has two Phase 2 educators set to receive Minnesota Department of Education approved training during the 2025-26 school year.</w:t>
      </w:r>
    </w:p>
    <w:p w14:paraId="0000000F" w14:textId="77777777" w:rsidR="00A3287B" w:rsidRDefault="00E64E2D">
      <w:pPr>
        <w:rPr>
          <w:color w:val="FF0000"/>
        </w:rPr>
      </w:pPr>
      <w:r>
        <w:rPr>
          <w:b/>
        </w:rPr>
        <w:t>Action Planning for Continuous Improvement</w:t>
      </w:r>
      <w:r>
        <w:rPr>
          <w:b/>
        </w:rPr>
        <w:br/>
      </w:r>
      <w:r>
        <w:t>Lester Prairie has prioritized the implementation of evidence-based literacy instruction in grades K-3 during the 2024-25 school year and will maintain this focus into grades 4-12 through the 2025-26 and 2026-27 school years. The district is committed to ongoing professional development in reading and supporting grade levels in adopting and implementing evidence-based literacy practices. As part of its continuous improvement efforts, the district is evaluating Tier I literacy curricula used in grades K-12,</w:t>
      </w:r>
      <w:r>
        <w:t xml:space="preserve"> as well as intervention resources, and following guidance from the Minnesota Department of Education to determine the next steps. In addition, Lester Prairie will enhance their </w:t>
      </w:r>
      <w:proofErr w:type="spellStart"/>
      <w:r>
        <w:t>MnMTSS</w:t>
      </w:r>
      <w:proofErr w:type="spellEnd"/>
      <w:r>
        <w:t xml:space="preserve"> Framework to ensure success for all students.</w:t>
      </w:r>
    </w:p>
    <w:sectPr w:rsidR="00A3287B">
      <w:footerReference w:type="default" r:id="rId10"/>
      <w:footerReference w:type="first" r:id="rId11"/>
      <w:pgSz w:w="12240" w:h="15840"/>
      <w:pgMar w:top="1440" w:right="1080" w:bottom="1440" w:left="108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DF00" w14:textId="77777777" w:rsidR="00E64E2D" w:rsidRDefault="00E64E2D">
      <w:pPr>
        <w:spacing w:before="0" w:after="0" w:line="240" w:lineRule="auto"/>
      </w:pPr>
      <w:r>
        <w:separator/>
      </w:r>
    </w:p>
  </w:endnote>
  <w:endnote w:type="continuationSeparator" w:id="0">
    <w:p w14:paraId="28CC0A54" w14:textId="77777777" w:rsidR="00E64E2D" w:rsidRDefault="00E64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4D762F76" w:rsidR="00A3287B" w:rsidRDefault="00E64E2D">
    <w:pPr>
      <w:pBdr>
        <w:top w:val="nil"/>
        <w:left w:val="nil"/>
        <w:bottom w:val="nil"/>
        <w:right w:val="nil"/>
        <w:between w:val="nil"/>
      </w:pBdr>
      <w:tabs>
        <w:tab w:val="right" w:pos="10080"/>
        <w:tab w:val="center" w:pos="5040"/>
      </w:tabs>
      <w:spacing w:before="0" w:after="0" w:line="336" w:lineRule="auto"/>
      <w:rPr>
        <w:color w:val="000000"/>
      </w:rPr>
    </w:pPr>
    <w:r>
      <w:rPr>
        <w:color w:val="000000"/>
      </w:rPr>
      <w:t>Local Literacy Plan</w:t>
    </w:r>
    <w:r>
      <w:tab/>
    </w:r>
    <w:r>
      <w:rPr>
        <w:color w:val="000000"/>
      </w:rPr>
      <w:t>2024-25 School Year</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A3287B" w:rsidRDefault="00E64E2D">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444D" w14:textId="77777777" w:rsidR="00E64E2D" w:rsidRDefault="00E64E2D">
      <w:pPr>
        <w:spacing w:before="0" w:after="0" w:line="240" w:lineRule="auto"/>
      </w:pPr>
      <w:r>
        <w:separator/>
      </w:r>
    </w:p>
  </w:footnote>
  <w:footnote w:type="continuationSeparator" w:id="0">
    <w:p w14:paraId="2F5BE9B5" w14:textId="77777777" w:rsidR="00E64E2D" w:rsidRDefault="00E64E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8264C"/>
    <w:multiLevelType w:val="multilevel"/>
    <w:tmpl w:val="EA8CC348"/>
    <w:lvl w:ilvl="0">
      <w:start w:val="1"/>
      <w:numFmt w:val="decimal"/>
      <w:pStyle w:val="ListParagraph"/>
      <w:lvlText w:val="%1."/>
      <w:lvlJc w:val="left"/>
      <w:pPr>
        <w:tabs>
          <w:tab w:val="num" w:pos="720"/>
        </w:tabs>
        <w:ind w:left="720" w:hanging="720"/>
      </w:pPr>
    </w:lvl>
    <w:lvl w:ilvl="1">
      <w:start w:val="1"/>
      <w:numFmt w:val="decimal"/>
      <w:pStyle w:val="BulletListLevel2"/>
      <w:lvlText w:val="%2."/>
      <w:lvlJc w:val="left"/>
      <w:pPr>
        <w:tabs>
          <w:tab w:val="num" w:pos="1440"/>
        </w:tabs>
        <w:ind w:left="1440" w:hanging="720"/>
      </w:pPr>
    </w:lvl>
    <w:lvl w:ilvl="2">
      <w:start w:val="1"/>
      <w:numFmt w:val="decimal"/>
      <w:pStyle w:val="BulletListLevel3"/>
      <w:lvlText w:val="%3."/>
      <w:lvlJc w:val="left"/>
      <w:pPr>
        <w:tabs>
          <w:tab w:val="num" w:pos="2160"/>
        </w:tabs>
        <w:ind w:left="2160" w:hanging="720"/>
      </w:pPr>
    </w:lvl>
    <w:lvl w:ilvl="3">
      <w:start w:val="1"/>
      <w:numFmt w:val="decimal"/>
      <w:pStyle w:val="BulletListLevel4"/>
      <w:lvlText w:val="%4."/>
      <w:lvlJc w:val="left"/>
      <w:pPr>
        <w:tabs>
          <w:tab w:val="num" w:pos="2880"/>
        </w:tabs>
        <w:ind w:left="2880" w:hanging="720"/>
      </w:pPr>
    </w:lvl>
    <w:lvl w:ilvl="4">
      <w:start w:val="1"/>
      <w:numFmt w:val="decimal"/>
      <w:pStyle w:val="BulletLis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5046118">
    <w:abstractNumId w:val="0"/>
  </w:num>
  <w:num w:numId="2" w16cid:durableId="1047295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262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611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7B"/>
    <w:rsid w:val="00A3287B"/>
    <w:rsid w:val="00E6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F1675BF-2BF6-C247-9C6E-D80D15F3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68"/>
  </w:style>
  <w:style w:type="paragraph" w:styleId="Heading1">
    <w:name w:val="heading 1"/>
    <w:next w:val="Normal"/>
    <w:link w:val="Heading1Char"/>
    <w:uiPriority w:val="9"/>
    <w:qFormat/>
    <w:rsid w:val="003B2B0A"/>
    <w:pPr>
      <w:keepNext/>
      <w:keepLines/>
      <w:tabs>
        <w:tab w:val="left" w:pos="3345"/>
      </w:tabs>
      <w:spacing w:before="240" w:after="120"/>
      <w:outlineLvl w:val="0"/>
    </w:pPr>
    <w:rPr>
      <w:b/>
      <w:color w:val="003865"/>
      <w:sz w:val="36"/>
      <w:szCs w:val="36"/>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semiHidden/>
    <w:unhideWhenUsed/>
    <w:qFormat/>
    <w:rsid w:val="003B2B0A"/>
    <w:pPr>
      <w:keepNext/>
      <w:spacing w:before="240" w:after="120"/>
      <w:outlineLvl w:val="2"/>
    </w:pPr>
    <w:rPr>
      <w:rFonts w:asciiTheme="minorHAnsi" w:eastAsiaTheme="majorEastAsia" w:hAnsiTheme="minorHAnsi" w:cs="Arial"/>
      <w:b/>
      <w:color w:val="003865" w:themeColor="accent1"/>
      <w:sz w:val="28"/>
      <w:szCs w:val="28"/>
    </w:rPr>
  </w:style>
  <w:style w:type="paragraph" w:styleId="Heading4">
    <w:name w:val="heading 4"/>
    <w:basedOn w:val="Normal"/>
    <w:next w:val="Normal"/>
    <w:link w:val="Heading4Char"/>
    <w:uiPriority w:val="9"/>
    <w:semiHidden/>
    <w:unhideWhenUsed/>
    <w:qFormat/>
    <w:rsid w:val="008B47D2"/>
    <w:pPr>
      <w:outlineLvl w:val="3"/>
    </w:pPr>
    <w:rPr>
      <w:b/>
      <w:color w:val="003865"/>
      <w:sz w:val="24"/>
      <w:szCs w:val="24"/>
    </w:rPr>
  </w:style>
  <w:style w:type="paragraph" w:styleId="Heading5">
    <w:name w:val="heading 5"/>
    <w:basedOn w:val="Normal"/>
    <w:next w:val="Normal"/>
    <w:link w:val="Heading5Char"/>
    <w:uiPriority w:val="9"/>
    <w:semiHidden/>
    <w:unhideWhenUsed/>
    <w:qFormat/>
    <w:rsid w:val="003B2B0A"/>
    <w:pPr>
      <w:keepNext/>
      <w:keepLines/>
      <w:spacing w:before="240" w:after="120"/>
      <w:outlineLvl w:val="4"/>
    </w:pPr>
    <w:rPr>
      <w:rFonts w:asciiTheme="majorHAnsi" w:eastAsiaTheme="majorEastAsia" w:hAnsiTheme="majorHAnsi" w:cstheme="majorBidi"/>
      <w:b/>
      <w:color w:val="000000" w:themeColor="text2"/>
      <w:sz w:val="24"/>
      <w:szCs w:val="24"/>
    </w:rPr>
  </w:style>
  <w:style w:type="paragraph" w:styleId="Heading6">
    <w:name w:val="heading 6"/>
    <w:basedOn w:val="Normal"/>
    <w:next w:val="Normal"/>
    <w:link w:val="Heading6Char"/>
    <w:uiPriority w:val="9"/>
    <w:semiHidden/>
    <w:unhideWhenUsed/>
    <w:qFormat/>
    <w:rsid w:val="003B2B0A"/>
    <w:pPr>
      <w:keepNext/>
      <w:keepLines/>
      <w:spacing w:before="240" w:after="120"/>
      <w:outlineLvl w:val="5"/>
    </w:pPr>
    <w:rPr>
      <w:rFonts w:asciiTheme="majorHAnsi" w:eastAsiaTheme="majorEastAsia" w:hAnsiTheme="majorHAnsi" w:cstheme="majorBidi"/>
      <w:i/>
      <w:iCs/>
      <w:color w:val="000000" w:themeColor="text2"/>
      <w:sz w:val="24"/>
      <w:szCs w:val="24"/>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8B47D2"/>
    <w:rPr>
      <w:b/>
      <w:color w:val="003865"/>
      <w:sz w:val="24"/>
      <w:szCs w:val="24"/>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0"/>
      </w:numPr>
      <w:tabs>
        <w:tab w:val="num" w:pos="720"/>
      </w:tabs>
      <w:spacing w:before="120" w:after="120" w:line="240" w:lineRule="auto"/>
      <w:ind w:left="720" w:hanging="720"/>
    </w:pPr>
  </w:style>
  <w:style w:type="paragraph" w:customStyle="1" w:styleId="BulletListLevel2">
    <w:name w:val="Bullet List Level 2"/>
    <w:basedOn w:val="ListParagraph"/>
    <w:link w:val="BulletListLevel2Char"/>
    <w:qFormat/>
    <w:rsid w:val="008B47D2"/>
    <w:pPr>
      <w:numPr>
        <w:ilvl w:val="1"/>
        <w:numId w:val="3"/>
      </w:numPr>
      <w:spacing w:before="120" w:after="120" w:line="240" w:lineRule="auto"/>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
      </w:numPr>
      <w:spacing w:before="120" w:after="120" w:line="240" w:lineRule="auto"/>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
      </w:numPr>
      <w:spacing w:before="120" w:after="120" w:line="240" w:lineRule="auto"/>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tabs>
        <w:tab w:val="num" w:pos="720"/>
      </w:tabs>
      <w:spacing w:before="120" w:after="120" w:line="240" w:lineRule="auto"/>
      <w:ind w:left="720" w:hanging="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tabs>
        <w:tab w:val="num" w:pos="720"/>
      </w:tabs>
      <w:ind w:left="1080" w:hanging="72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numId w:val="0"/>
      </w:numPr>
      <w:tabs>
        <w:tab w:val="num" w:pos="2160"/>
      </w:tabs>
      <w:spacing w:before="120" w:after="120" w:line="240" w:lineRule="auto"/>
      <w:ind w:left="1440" w:hanging="72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tabs>
        <w:tab w:val="num" w:pos="720"/>
      </w:tabs>
      <w:ind w:left="1800" w:hanging="72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tabs>
        <w:tab w:val="num" w:pos="720"/>
      </w:tabs>
      <w:ind w:left="2160" w:hanging="72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rPr>
  </w:style>
  <w:style w:type="paragraph" w:styleId="NoSpacing">
    <w:name w:val="No Spacing"/>
    <w:uiPriority w:val="1"/>
    <w:qFormat/>
    <w:rsid w:val="004B4DDA"/>
    <w:pPr>
      <w:spacing w:before="0" w:line="240" w:lineRule="auto"/>
    </w:pPr>
  </w:style>
  <w:style w:type="character" w:styleId="UnresolvedMention">
    <w:name w:val="Unresolved Mention"/>
    <w:basedOn w:val="DefaultParagraphFont"/>
    <w:uiPriority w:val="99"/>
    <w:semiHidden/>
    <w:unhideWhenUsed/>
    <w:rsid w:val="00C45A51"/>
    <w:rPr>
      <w:color w:val="605E5C"/>
      <w:shd w:val="clear" w:color="auto" w:fill="E1DFDD"/>
    </w:rPr>
  </w:style>
  <w:style w:type="paragraph" w:styleId="Header">
    <w:name w:val="header"/>
    <w:basedOn w:val="Normal"/>
    <w:link w:val="HeaderChar"/>
    <w:uiPriority w:val="99"/>
    <w:unhideWhenUsed/>
    <w:rsid w:val="00B0399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3996"/>
  </w:style>
  <w:style w:type="character" w:styleId="CommentReference">
    <w:name w:val="annotation reference"/>
    <w:basedOn w:val="DefaultParagraphFont"/>
    <w:semiHidden/>
    <w:unhideWhenUsed/>
    <w:rsid w:val="000405CA"/>
    <w:rPr>
      <w:sz w:val="16"/>
      <w:szCs w:val="16"/>
    </w:rPr>
  </w:style>
  <w:style w:type="paragraph" w:styleId="CommentText">
    <w:name w:val="annotation text"/>
    <w:basedOn w:val="Normal"/>
    <w:link w:val="CommentTextChar"/>
    <w:unhideWhenUsed/>
    <w:rsid w:val="000405CA"/>
    <w:pPr>
      <w:spacing w:line="240" w:lineRule="auto"/>
    </w:pPr>
    <w:rPr>
      <w:sz w:val="20"/>
      <w:szCs w:val="20"/>
    </w:rPr>
  </w:style>
  <w:style w:type="character" w:customStyle="1" w:styleId="CommentTextChar">
    <w:name w:val="Comment Text Char"/>
    <w:basedOn w:val="DefaultParagraphFont"/>
    <w:link w:val="CommentText"/>
    <w:rsid w:val="000405CA"/>
    <w:rPr>
      <w:sz w:val="20"/>
      <w:szCs w:val="20"/>
    </w:rPr>
  </w:style>
  <w:style w:type="paragraph" w:styleId="CommentSubject">
    <w:name w:val="annotation subject"/>
    <w:basedOn w:val="CommentText"/>
    <w:next w:val="CommentText"/>
    <w:link w:val="CommentSubjectChar"/>
    <w:semiHidden/>
    <w:unhideWhenUsed/>
    <w:rsid w:val="000405CA"/>
    <w:rPr>
      <w:b/>
      <w:bCs/>
    </w:rPr>
  </w:style>
  <w:style w:type="character" w:customStyle="1" w:styleId="CommentSubjectChar">
    <w:name w:val="Comment Subject Char"/>
    <w:basedOn w:val="CommentTextChar"/>
    <w:link w:val="CommentSubject"/>
    <w:semiHidden/>
    <w:rsid w:val="000405CA"/>
    <w:rPr>
      <w:b/>
      <w:bCs/>
      <w:sz w:val="20"/>
      <w:szCs w:val="20"/>
    </w:rPr>
  </w:style>
  <w:style w:type="character" w:styleId="FollowedHyperlink">
    <w:name w:val="FollowedHyperlink"/>
    <w:basedOn w:val="DefaultParagraphFont"/>
    <w:semiHidden/>
    <w:unhideWhenUsed/>
    <w:rsid w:val="00AA1AC0"/>
    <w:rPr>
      <w:color w:val="5D295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2">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3">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4">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5">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7">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8">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9">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a">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b">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c">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d">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e">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0">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1">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2">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3">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4">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5">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7">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8">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9">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a">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b">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c">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d">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fe">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20B.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isor.mn.gov/statutes/cite/120B.12"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3JMH5RfAuf3f1HNh610WUiy3Q==">CgMxLjAyDmgueGsyM2ttNGJ4cGVoMg1oLmRwa3JyZXpvb2p6Mg5oLjZnbXh3Zjc0ZmpraTIOaC55NG5qZm9rdG1qZnM4AHIhMVh0b19hcXRudnZvbjBkYTBYZ09LSnJndlZIMXhRWkVv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Mesick</dc:creator>
  <cp:lastModifiedBy>Melissa Radeke</cp:lastModifiedBy>
  <cp:revision>2</cp:revision>
  <dcterms:created xsi:type="dcterms:W3CDTF">2024-06-04T13:55:00Z</dcterms:created>
  <dcterms:modified xsi:type="dcterms:W3CDTF">2024-06-04T13:55:00Z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0x010100A37B3F01C190254E9B608656D91F0563</vt:lpwstr>
  </property>
</Properties>
</file>