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AC2C9" w14:textId="3ECD72E0" w:rsidR="00CC127A" w:rsidRPr="00CC127A" w:rsidRDefault="00CC127A" w:rsidP="00CC127A">
      <w:pPr>
        <w:jc w:val="center"/>
        <w:rPr>
          <w:b/>
          <w:color w:val="FF0000"/>
          <w:sz w:val="20"/>
        </w:rPr>
      </w:pPr>
      <w:bookmarkStart w:id="0" w:name="_GoBack"/>
      <w:r w:rsidRPr="00CC127A">
        <w:rPr>
          <w:b/>
          <w:color w:val="FF0000"/>
          <w:sz w:val="20"/>
        </w:rPr>
        <w:t>Copy and Paste the below template above the transition template:</w:t>
      </w:r>
    </w:p>
    <w:p w14:paraId="0D4F85D2" w14:textId="77777777" w:rsidR="00CC127A" w:rsidRDefault="00CC127A">
      <w:pPr>
        <w:rPr>
          <w:b/>
          <w:sz w:val="20"/>
        </w:rPr>
      </w:pPr>
    </w:p>
    <w:p w14:paraId="4C1FF901" w14:textId="77777777" w:rsidR="008F6508" w:rsidRPr="00B67ED2" w:rsidRDefault="002E78B4">
      <w:pPr>
        <w:rPr>
          <w:b/>
          <w:sz w:val="20"/>
        </w:rPr>
      </w:pPr>
      <w:r w:rsidRPr="00B67ED2">
        <w:rPr>
          <w:b/>
          <w:sz w:val="20"/>
        </w:rPr>
        <w:t>The Center for Innovative Teaching Experiences (C.I.T.E.) Learning Styles Instrument</w:t>
      </w:r>
    </w:p>
    <w:p w14:paraId="01A06DB7" w14:textId="6ABCCDF2" w:rsidR="002E78B4" w:rsidRPr="00B67ED2" w:rsidRDefault="002E78B4">
      <w:pPr>
        <w:rPr>
          <w:sz w:val="20"/>
        </w:rPr>
      </w:pPr>
      <w:r w:rsidRPr="00B67ED2">
        <w:rPr>
          <w:b/>
          <w:sz w:val="20"/>
        </w:rPr>
        <w:t>Date Completed</w:t>
      </w:r>
      <w:r w:rsidRPr="00B67ED2">
        <w:rPr>
          <w:sz w:val="20"/>
        </w:rPr>
        <w:t>:</w:t>
      </w:r>
      <w:r w:rsidR="00CC127A">
        <w:rPr>
          <w:sz w:val="20"/>
        </w:rPr>
        <w:t xml:space="preserve"> </w:t>
      </w:r>
      <w:r w:rsidR="00CC127A" w:rsidRPr="00CC127A">
        <w:rPr>
          <w:color w:val="FF0000"/>
          <w:sz w:val="20"/>
        </w:rPr>
        <w:t>(put date here)</w:t>
      </w:r>
    </w:p>
    <w:bookmarkEnd w:id="0"/>
    <w:p w14:paraId="029DAA80" w14:textId="57A6D8B3" w:rsidR="002E78B4" w:rsidRPr="00B67ED2" w:rsidRDefault="002E78B4">
      <w:pPr>
        <w:rPr>
          <w:sz w:val="20"/>
        </w:rPr>
      </w:pPr>
      <w:r w:rsidRPr="00B67ED2">
        <w:rPr>
          <w:sz w:val="20"/>
        </w:rPr>
        <w:t xml:space="preserve">The C.I.T.E. Learning Styles Instrument is an informal rating form the student completes that assists the evaluation team in determining the student’s preferred learning style and determining what classroom and future employment or job modifications will be necessary.  The instrument is divided into three main areas: </w:t>
      </w:r>
      <w:r w:rsidR="00DF309B">
        <w:rPr>
          <w:sz w:val="20"/>
        </w:rPr>
        <w:t>Information Gathering, Work Conditions, and Expressive Preference.</w:t>
      </w:r>
    </w:p>
    <w:p w14:paraId="662AD94D" w14:textId="36D424CB" w:rsidR="002E78B4" w:rsidRPr="00DF309B" w:rsidRDefault="00A53F90">
      <w:pPr>
        <w:rPr>
          <w:i/>
          <w:sz w:val="20"/>
        </w:rPr>
      </w:pPr>
      <w:r w:rsidRPr="00DF309B">
        <w:rPr>
          <w:i/>
          <w:sz w:val="20"/>
        </w:rPr>
        <w:t>Score descriptors:</w:t>
      </w:r>
    </w:p>
    <w:p w14:paraId="14DF4447" w14:textId="77777777" w:rsidR="00A53F90" w:rsidRPr="00B67ED2" w:rsidRDefault="00A53F90" w:rsidP="00A53F90">
      <w:pPr>
        <w:pStyle w:val="ListParagraph"/>
        <w:numPr>
          <w:ilvl w:val="0"/>
          <w:numId w:val="2"/>
        </w:numPr>
        <w:rPr>
          <w:sz w:val="20"/>
        </w:rPr>
      </w:pPr>
      <w:r w:rsidRPr="00B67ED2">
        <w:rPr>
          <w:sz w:val="20"/>
        </w:rPr>
        <w:t>33-40:</w:t>
      </w:r>
      <w:r w:rsidRPr="00B67ED2">
        <w:rPr>
          <w:i/>
          <w:sz w:val="20"/>
        </w:rPr>
        <w:t xml:space="preserve"> </w:t>
      </w:r>
      <w:r w:rsidRPr="00B67ED2">
        <w:rPr>
          <w:b/>
          <w:i/>
          <w:sz w:val="20"/>
        </w:rPr>
        <w:t>Major</w:t>
      </w:r>
      <w:r w:rsidRPr="00B67ED2">
        <w:rPr>
          <w:sz w:val="20"/>
        </w:rPr>
        <w:t xml:space="preserve">—the student prefers this mode of learning, feels comfortable with it, and uses it for learning.  </w:t>
      </w:r>
    </w:p>
    <w:p w14:paraId="544B2172" w14:textId="77777777" w:rsidR="00A53F90" w:rsidRPr="00B67ED2" w:rsidRDefault="00A53F90" w:rsidP="00A53F90">
      <w:pPr>
        <w:pStyle w:val="ListParagraph"/>
        <w:numPr>
          <w:ilvl w:val="0"/>
          <w:numId w:val="2"/>
        </w:numPr>
        <w:rPr>
          <w:sz w:val="20"/>
        </w:rPr>
      </w:pPr>
      <w:r w:rsidRPr="00B67ED2">
        <w:rPr>
          <w:sz w:val="20"/>
        </w:rPr>
        <w:t>20-32:</w:t>
      </w:r>
      <w:r w:rsidRPr="00B67ED2">
        <w:rPr>
          <w:b/>
          <w:i/>
          <w:sz w:val="20"/>
        </w:rPr>
        <w:t xml:space="preserve"> Minor</w:t>
      </w:r>
      <w:r w:rsidRPr="00B67ED2">
        <w:rPr>
          <w:sz w:val="20"/>
        </w:rPr>
        <w:t>—the student uses this mode but usually as a second choice or in conjunction with other learning styles</w:t>
      </w:r>
    </w:p>
    <w:p w14:paraId="614F0175" w14:textId="77777777" w:rsidR="00A53F90" w:rsidRPr="00B67ED2" w:rsidRDefault="00A53F90" w:rsidP="00A53F90">
      <w:pPr>
        <w:pStyle w:val="ListParagraph"/>
        <w:numPr>
          <w:ilvl w:val="0"/>
          <w:numId w:val="2"/>
        </w:numPr>
        <w:rPr>
          <w:sz w:val="20"/>
        </w:rPr>
      </w:pPr>
      <w:r w:rsidRPr="00B67ED2">
        <w:rPr>
          <w:sz w:val="20"/>
        </w:rPr>
        <w:t>5-20:</w:t>
      </w:r>
      <w:r w:rsidRPr="00B67ED2">
        <w:rPr>
          <w:i/>
          <w:sz w:val="20"/>
        </w:rPr>
        <w:t xml:space="preserve"> </w:t>
      </w:r>
      <w:r w:rsidRPr="00B67ED2">
        <w:rPr>
          <w:b/>
          <w:i/>
          <w:sz w:val="20"/>
        </w:rPr>
        <w:t>Negligible</w:t>
      </w:r>
      <w:r w:rsidRPr="00B67ED2">
        <w:rPr>
          <w:sz w:val="20"/>
        </w:rPr>
        <w:t>—the student prefers not to use this if other choices are available and/or the student does not feel comfortable with this style</w:t>
      </w:r>
    </w:p>
    <w:tbl>
      <w:tblPr>
        <w:tblStyle w:val="TableGrid"/>
        <w:tblW w:w="9621" w:type="dxa"/>
        <w:jc w:val="center"/>
        <w:tblLook w:val="04A0" w:firstRow="1" w:lastRow="0" w:firstColumn="1" w:lastColumn="0" w:noHBand="0" w:noVBand="1"/>
      </w:tblPr>
      <w:tblGrid>
        <w:gridCol w:w="1839"/>
        <w:gridCol w:w="6092"/>
        <w:gridCol w:w="1690"/>
      </w:tblGrid>
      <w:tr w:rsidR="00A53F90" w:rsidRPr="00B67ED2" w14:paraId="728E17F7" w14:textId="77777777" w:rsidTr="00A4603B">
        <w:trPr>
          <w:trHeight w:val="269"/>
          <w:jc w:val="center"/>
        </w:trPr>
        <w:tc>
          <w:tcPr>
            <w:tcW w:w="9621" w:type="dxa"/>
            <w:gridSpan w:val="3"/>
          </w:tcPr>
          <w:p w14:paraId="2EF7C6B0" w14:textId="77777777" w:rsidR="00A53F90" w:rsidRPr="00B67ED2" w:rsidRDefault="00A53F90" w:rsidP="00DA25B5">
            <w:pPr>
              <w:jc w:val="center"/>
              <w:rPr>
                <w:b/>
                <w:sz w:val="20"/>
              </w:rPr>
            </w:pPr>
            <w:r w:rsidRPr="00B67ED2">
              <w:rPr>
                <w:b/>
                <w:sz w:val="20"/>
              </w:rPr>
              <w:t>Information Gathering</w:t>
            </w:r>
          </w:p>
        </w:tc>
      </w:tr>
      <w:tr w:rsidR="00A4603B" w:rsidRPr="00B67ED2" w14:paraId="5478C032" w14:textId="77777777" w:rsidTr="00A4603B">
        <w:trPr>
          <w:trHeight w:val="269"/>
          <w:jc w:val="center"/>
        </w:trPr>
        <w:tc>
          <w:tcPr>
            <w:tcW w:w="1839" w:type="dxa"/>
          </w:tcPr>
          <w:p w14:paraId="503A4A40" w14:textId="77777777" w:rsidR="00A53F90" w:rsidRPr="00B67ED2" w:rsidRDefault="00A53F90" w:rsidP="00A53F90">
            <w:pPr>
              <w:jc w:val="center"/>
              <w:rPr>
                <w:b/>
                <w:sz w:val="20"/>
              </w:rPr>
            </w:pPr>
            <w:r w:rsidRPr="00B67ED2">
              <w:rPr>
                <w:b/>
                <w:sz w:val="20"/>
              </w:rPr>
              <w:t>Area</w:t>
            </w:r>
          </w:p>
        </w:tc>
        <w:tc>
          <w:tcPr>
            <w:tcW w:w="6092" w:type="dxa"/>
          </w:tcPr>
          <w:p w14:paraId="673F6C43" w14:textId="77777777" w:rsidR="00A53F90" w:rsidRPr="00B67ED2" w:rsidRDefault="00A53F90" w:rsidP="00A53F90">
            <w:pPr>
              <w:jc w:val="center"/>
              <w:rPr>
                <w:b/>
                <w:sz w:val="20"/>
              </w:rPr>
            </w:pPr>
            <w:r w:rsidRPr="00B67ED2">
              <w:rPr>
                <w:b/>
                <w:sz w:val="20"/>
              </w:rPr>
              <w:t>Description</w:t>
            </w:r>
          </w:p>
        </w:tc>
        <w:tc>
          <w:tcPr>
            <w:tcW w:w="1690" w:type="dxa"/>
          </w:tcPr>
          <w:p w14:paraId="07293F94" w14:textId="77777777" w:rsidR="00A53F90" w:rsidRPr="00B67ED2" w:rsidRDefault="00A53F90" w:rsidP="00A53F90">
            <w:pPr>
              <w:jc w:val="center"/>
              <w:rPr>
                <w:b/>
                <w:sz w:val="20"/>
              </w:rPr>
            </w:pPr>
            <w:r w:rsidRPr="00B67ED2">
              <w:rPr>
                <w:b/>
                <w:sz w:val="20"/>
              </w:rPr>
              <w:t>Score</w:t>
            </w:r>
            <w:r w:rsidR="00A4603B" w:rsidRPr="00B67ED2">
              <w:rPr>
                <w:b/>
                <w:sz w:val="20"/>
              </w:rPr>
              <w:t xml:space="preserve"> Range</w:t>
            </w:r>
          </w:p>
        </w:tc>
      </w:tr>
      <w:tr w:rsidR="00A4603B" w:rsidRPr="00B67ED2" w14:paraId="3EB40964" w14:textId="77777777" w:rsidTr="00A4603B">
        <w:trPr>
          <w:trHeight w:val="823"/>
          <w:jc w:val="center"/>
        </w:trPr>
        <w:tc>
          <w:tcPr>
            <w:tcW w:w="1839" w:type="dxa"/>
          </w:tcPr>
          <w:p w14:paraId="3772172E" w14:textId="77777777" w:rsidR="00A53F90" w:rsidRPr="00B67ED2" w:rsidRDefault="00A53F90" w:rsidP="00DA25B5">
            <w:pPr>
              <w:jc w:val="center"/>
              <w:rPr>
                <w:b/>
                <w:sz w:val="20"/>
              </w:rPr>
            </w:pPr>
            <w:r w:rsidRPr="00B67ED2">
              <w:rPr>
                <w:b/>
                <w:sz w:val="20"/>
              </w:rPr>
              <w:t>Visual Language</w:t>
            </w:r>
          </w:p>
        </w:tc>
        <w:tc>
          <w:tcPr>
            <w:tcW w:w="6092" w:type="dxa"/>
          </w:tcPr>
          <w:p w14:paraId="2EF01176" w14:textId="13D7B263" w:rsidR="00A53F90" w:rsidRPr="00B67ED2" w:rsidRDefault="00DA25B5" w:rsidP="00A53F90">
            <w:pPr>
              <w:rPr>
                <w:sz w:val="20"/>
              </w:rPr>
            </w:pPr>
            <w:r w:rsidRPr="00B67ED2">
              <w:rPr>
                <w:sz w:val="20"/>
              </w:rPr>
              <w:t>Learns well from seeing words in books, on board, charts, or workbooks.  May even write down words that are given orally to learn by seeing them</w:t>
            </w:r>
          </w:p>
        </w:tc>
        <w:tc>
          <w:tcPr>
            <w:tcW w:w="1690" w:type="dxa"/>
          </w:tcPr>
          <w:p w14:paraId="4ADA95DD" w14:textId="77777777" w:rsidR="00A53F90" w:rsidRPr="00B67ED2" w:rsidRDefault="00A4603B" w:rsidP="00A53F90">
            <w:pPr>
              <w:rPr>
                <w:i/>
                <w:color w:val="FF0000"/>
                <w:sz w:val="20"/>
              </w:rPr>
            </w:pPr>
            <w:r w:rsidRPr="00B67ED2">
              <w:rPr>
                <w:sz w:val="20"/>
              </w:rPr>
              <w:t xml:space="preserve"> </w:t>
            </w:r>
            <w:r w:rsidRPr="00B67ED2">
              <w:rPr>
                <w:i/>
                <w:color w:val="FF0000"/>
                <w:sz w:val="20"/>
              </w:rPr>
              <w:t>(</w:t>
            </w:r>
            <w:proofErr w:type="gramStart"/>
            <w:r w:rsidRPr="00B67ED2">
              <w:rPr>
                <w:i/>
                <w:color w:val="FF0000"/>
                <w:sz w:val="20"/>
              </w:rPr>
              <w:t>e</w:t>
            </w:r>
            <w:proofErr w:type="gramEnd"/>
            <w:r w:rsidRPr="00B67ED2">
              <w:rPr>
                <w:i/>
                <w:color w:val="FF0000"/>
                <w:sz w:val="20"/>
              </w:rPr>
              <w:t>.g., Major)</w:t>
            </w:r>
          </w:p>
        </w:tc>
      </w:tr>
      <w:tr w:rsidR="00A4603B" w:rsidRPr="00B67ED2" w14:paraId="0B88067D" w14:textId="77777777" w:rsidTr="00DA25B5">
        <w:trPr>
          <w:trHeight w:val="800"/>
          <w:jc w:val="center"/>
        </w:trPr>
        <w:tc>
          <w:tcPr>
            <w:tcW w:w="1839" w:type="dxa"/>
          </w:tcPr>
          <w:p w14:paraId="1BD90D75" w14:textId="77777777" w:rsidR="00A53F90" w:rsidRPr="00B67ED2" w:rsidRDefault="00A53F90" w:rsidP="00DA25B5">
            <w:pPr>
              <w:jc w:val="center"/>
              <w:rPr>
                <w:b/>
                <w:sz w:val="20"/>
              </w:rPr>
            </w:pPr>
            <w:r w:rsidRPr="00B67ED2">
              <w:rPr>
                <w:b/>
                <w:sz w:val="20"/>
              </w:rPr>
              <w:t>Visual Numerical</w:t>
            </w:r>
          </w:p>
        </w:tc>
        <w:tc>
          <w:tcPr>
            <w:tcW w:w="6092" w:type="dxa"/>
          </w:tcPr>
          <w:p w14:paraId="70E609F5" w14:textId="77777777" w:rsidR="00A53F90" w:rsidRPr="00B67ED2" w:rsidRDefault="00A53F90" w:rsidP="00A53F90">
            <w:pPr>
              <w:rPr>
                <w:sz w:val="20"/>
              </w:rPr>
            </w:pPr>
            <w:r w:rsidRPr="00B67ED2">
              <w:rPr>
                <w:sz w:val="20"/>
              </w:rPr>
              <w:t>Student must see numbers (on board, book, or paper) in order to work with them; likely to remember math facts when presented visually</w:t>
            </w:r>
          </w:p>
        </w:tc>
        <w:tc>
          <w:tcPr>
            <w:tcW w:w="1690" w:type="dxa"/>
          </w:tcPr>
          <w:p w14:paraId="4418EEA5" w14:textId="77777777" w:rsidR="00A53F90" w:rsidRPr="00B67ED2" w:rsidRDefault="00A53F90" w:rsidP="00A53F90">
            <w:pPr>
              <w:rPr>
                <w:sz w:val="20"/>
              </w:rPr>
            </w:pPr>
          </w:p>
        </w:tc>
      </w:tr>
      <w:tr w:rsidR="00A4603B" w:rsidRPr="00B67ED2" w14:paraId="7FB19E9C" w14:textId="77777777" w:rsidTr="00DA25B5">
        <w:trPr>
          <w:trHeight w:val="521"/>
          <w:jc w:val="center"/>
        </w:trPr>
        <w:tc>
          <w:tcPr>
            <w:tcW w:w="1839" w:type="dxa"/>
          </w:tcPr>
          <w:p w14:paraId="7C6D9504" w14:textId="77777777" w:rsidR="00A53F90" w:rsidRPr="00B67ED2" w:rsidRDefault="00A53F90" w:rsidP="00DA25B5">
            <w:pPr>
              <w:jc w:val="center"/>
              <w:rPr>
                <w:b/>
                <w:sz w:val="20"/>
              </w:rPr>
            </w:pPr>
            <w:r w:rsidRPr="00B67ED2">
              <w:rPr>
                <w:b/>
                <w:sz w:val="20"/>
              </w:rPr>
              <w:t>Auditory Language</w:t>
            </w:r>
          </w:p>
        </w:tc>
        <w:tc>
          <w:tcPr>
            <w:tcW w:w="6092" w:type="dxa"/>
          </w:tcPr>
          <w:p w14:paraId="12FAAFB8" w14:textId="54E3390F" w:rsidR="00A53F90" w:rsidRPr="00B67ED2" w:rsidRDefault="00DA25B5" w:rsidP="00A53F90">
            <w:pPr>
              <w:rPr>
                <w:sz w:val="20"/>
              </w:rPr>
            </w:pPr>
            <w:r w:rsidRPr="00B67ED2">
              <w:rPr>
                <w:sz w:val="20"/>
              </w:rPr>
              <w:t xml:space="preserve">Student learns from hearing words spoken; may move or vocalize while reading </w:t>
            </w:r>
          </w:p>
        </w:tc>
        <w:tc>
          <w:tcPr>
            <w:tcW w:w="1690" w:type="dxa"/>
          </w:tcPr>
          <w:p w14:paraId="3633E3A9" w14:textId="77777777" w:rsidR="00A53F90" w:rsidRPr="00B67ED2" w:rsidRDefault="00A53F90" w:rsidP="00A53F90">
            <w:pPr>
              <w:rPr>
                <w:sz w:val="20"/>
              </w:rPr>
            </w:pPr>
          </w:p>
        </w:tc>
      </w:tr>
      <w:tr w:rsidR="00A4603B" w:rsidRPr="00B67ED2" w14:paraId="1C16D8E7" w14:textId="77777777" w:rsidTr="00A4603B">
        <w:trPr>
          <w:trHeight w:val="269"/>
          <w:jc w:val="center"/>
        </w:trPr>
        <w:tc>
          <w:tcPr>
            <w:tcW w:w="1839" w:type="dxa"/>
          </w:tcPr>
          <w:p w14:paraId="5C1ECD2B" w14:textId="77777777" w:rsidR="00A4603B" w:rsidRPr="00B67ED2" w:rsidRDefault="00A4603B" w:rsidP="00DA25B5">
            <w:pPr>
              <w:jc w:val="center"/>
              <w:rPr>
                <w:b/>
                <w:sz w:val="20"/>
              </w:rPr>
            </w:pPr>
            <w:r w:rsidRPr="00B67ED2">
              <w:rPr>
                <w:b/>
                <w:sz w:val="20"/>
              </w:rPr>
              <w:t>Auditory Numerical</w:t>
            </w:r>
          </w:p>
        </w:tc>
        <w:tc>
          <w:tcPr>
            <w:tcW w:w="6092" w:type="dxa"/>
          </w:tcPr>
          <w:p w14:paraId="24B1C643" w14:textId="77777777" w:rsidR="00A4603B" w:rsidRPr="00B67ED2" w:rsidRDefault="00A4603B" w:rsidP="00A53F90">
            <w:pPr>
              <w:rPr>
                <w:sz w:val="20"/>
              </w:rPr>
            </w:pPr>
            <w:r w:rsidRPr="00B67ED2">
              <w:rPr>
                <w:sz w:val="20"/>
              </w:rPr>
              <w:t>Learn from hearing numbers and oral explanation.  May do well without math books because written materials are not as important.  Can probably compute problems in their head.</w:t>
            </w:r>
          </w:p>
        </w:tc>
        <w:tc>
          <w:tcPr>
            <w:tcW w:w="1690" w:type="dxa"/>
          </w:tcPr>
          <w:p w14:paraId="530FB16F" w14:textId="77777777" w:rsidR="00A4603B" w:rsidRPr="00B67ED2" w:rsidRDefault="00A4603B" w:rsidP="00A53F90">
            <w:pPr>
              <w:rPr>
                <w:sz w:val="20"/>
              </w:rPr>
            </w:pPr>
          </w:p>
        </w:tc>
      </w:tr>
      <w:tr w:rsidR="00A4603B" w:rsidRPr="00B67ED2" w14:paraId="540F1B7A" w14:textId="77777777" w:rsidTr="00A4603B">
        <w:trPr>
          <w:trHeight w:val="269"/>
          <w:jc w:val="center"/>
        </w:trPr>
        <w:tc>
          <w:tcPr>
            <w:tcW w:w="1839" w:type="dxa"/>
          </w:tcPr>
          <w:p w14:paraId="338BC6C6" w14:textId="77777777" w:rsidR="00A4603B" w:rsidRPr="00B67ED2" w:rsidRDefault="00A4603B" w:rsidP="00DA25B5">
            <w:pPr>
              <w:jc w:val="center"/>
              <w:rPr>
                <w:b/>
                <w:sz w:val="20"/>
              </w:rPr>
            </w:pPr>
            <w:r w:rsidRPr="00B67ED2">
              <w:rPr>
                <w:b/>
                <w:sz w:val="20"/>
              </w:rPr>
              <w:t>Kinesthetic-Tactile</w:t>
            </w:r>
          </w:p>
        </w:tc>
        <w:tc>
          <w:tcPr>
            <w:tcW w:w="6092" w:type="dxa"/>
          </w:tcPr>
          <w:p w14:paraId="14555DE5" w14:textId="77777777" w:rsidR="00A4603B" w:rsidRPr="00B67ED2" w:rsidRDefault="00A4603B" w:rsidP="00A53F90">
            <w:pPr>
              <w:rPr>
                <w:sz w:val="20"/>
              </w:rPr>
            </w:pPr>
            <w:r w:rsidRPr="00B67ED2">
              <w:rPr>
                <w:sz w:val="20"/>
              </w:rPr>
              <w:t xml:space="preserve">Learn best by experiencing—doing, self-involvement.  Definitely need manipulation of material along with accompanying sights and sounds.  </w:t>
            </w:r>
          </w:p>
        </w:tc>
        <w:tc>
          <w:tcPr>
            <w:tcW w:w="1690" w:type="dxa"/>
          </w:tcPr>
          <w:p w14:paraId="29FFC401" w14:textId="77777777" w:rsidR="00A4603B" w:rsidRPr="00B67ED2" w:rsidRDefault="00A4603B" w:rsidP="00A53F90">
            <w:pPr>
              <w:rPr>
                <w:sz w:val="20"/>
              </w:rPr>
            </w:pPr>
          </w:p>
        </w:tc>
      </w:tr>
      <w:tr w:rsidR="00A53F90" w:rsidRPr="00B67ED2" w14:paraId="5F566DC8" w14:textId="77777777" w:rsidTr="00A4603B">
        <w:trPr>
          <w:trHeight w:val="269"/>
          <w:jc w:val="center"/>
        </w:trPr>
        <w:tc>
          <w:tcPr>
            <w:tcW w:w="9621" w:type="dxa"/>
            <w:gridSpan w:val="3"/>
          </w:tcPr>
          <w:p w14:paraId="284C0404" w14:textId="77777777" w:rsidR="00DA25B5" w:rsidRDefault="00DA25B5" w:rsidP="00A53F90">
            <w:pPr>
              <w:jc w:val="center"/>
              <w:rPr>
                <w:b/>
                <w:sz w:val="20"/>
              </w:rPr>
            </w:pPr>
          </w:p>
          <w:p w14:paraId="629DEB3D" w14:textId="77777777" w:rsidR="00A53F90" w:rsidRPr="00B67ED2" w:rsidRDefault="00A53F90" w:rsidP="00A53F90">
            <w:pPr>
              <w:jc w:val="center"/>
              <w:rPr>
                <w:b/>
                <w:sz w:val="20"/>
              </w:rPr>
            </w:pPr>
            <w:r w:rsidRPr="00B67ED2">
              <w:rPr>
                <w:b/>
                <w:sz w:val="20"/>
              </w:rPr>
              <w:t>Work Conditions</w:t>
            </w:r>
          </w:p>
        </w:tc>
      </w:tr>
      <w:tr w:rsidR="00A4603B" w:rsidRPr="00B67ED2" w14:paraId="21FDAE5B" w14:textId="77777777" w:rsidTr="00A4603B">
        <w:trPr>
          <w:trHeight w:val="285"/>
          <w:jc w:val="center"/>
        </w:trPr>
        <w:tc>
          <w:tcPr>
            <w:tcW w:w="1839" w:type="dxa"/>
          </w:tcPr>
          <w:p w14:paraId="11BE7DB5" w14:textId="77777777" w:rsidR="00A4603B" w:rsidRPr="00B67ED2" w:rsidRDefault="00A4603B" w:rsidP="00A4603B">
            <w:pPr>
              <w:jc w:val="center"/>
              <w:rPr>
                <w:b/>
                <w:sz w:val="20"/>
              </w:rPr>
            </w:pPr>
            <w:r w:rsidRPr="00B67ED2">
              <w:rPr>
                <w:b/>
                <w:sz w:val="20"/>
              </w:rPr>
              <w:t>Area</w:t>
            </w:r>
          </w:p>
        </w:tc>
        <w:tc>
          <w:tcPr>
            <w:tcW w:w="6092" w:type="dxa"/>
          </w:tcPr>
          <w:p w14:paraId="53E93962" w14:textId="77777777" w:rsidR="00A4603B" w:rsidRPr="00B67ED2" w:rsidRDefault="00A4603B" w:rsidP="00A4603B">
            <w:pPr>
              <w:jc w:val="center"/>
              <w:rPr>
                <w:b/>
                <w:sz w:val="20"/>
              </w:rPr>
            </w:pPr>
            <w:r w:rsidRPr="00B67ED2">
              <w:rPr>
                <w:b/>
                <w:sz w:val="20"/>
              </w:rPr>
              <w:t>Description</w:t>
            </w:r>
          </w:p>
        </w:tc>
        <w:tc>
          <w:tcPr>
            <w:tcW w:w="1690" w:type="dxa"/>
          </w:tcPr>
          <w:p w14:paraId="354B3A05" w14:textId="77777777" w:rsidR="00A4603B" w:rsidRPr="00B67ED2" w:rsidRDefault="00A4603B" w:rsidP="00A4603B">
            <w:pPr>
              <w:jc w:val="center"/>
              <w:rPr>
                <w:b/>
                <w:sz w:val="20"/>
              </w:rPr>
            </w:pPr>
            <w:r w:rsidRPr="00B67ED2">
              <w:rPr>
                <w:b/>
                <w:sz w:val="20"/>
              </w:rPr>
              <w:t>Score Range</w:t>
            </w:r>
          </w:p>
        </w:tc>
      </w:tr>
      <w:tr w:rsidR="00A4603B" w:rsidRPr="00B67ED2" w14:paraId="681C5423" w14:textId="77777777" w:rsidTr="00A4603B">
        <w:trPr>
          <w:trHeight w:val="285"/>
          <w:jc w:val="center"/>
        </w:trPr>
        <w:tc>
          <w:tcPr>
            <w:tcW w:w="1839" w:type="dxa"/>
          </w:tcPr>
          <w:p w14:paraId="1C16990D" w14:textId="77777777" w:rsidR="00A53F90" w:rsidRPr="00B67ED2" w:rsidRDefault="00A53F90" w:rsidP="00DA25B5">
            <w:pPr>
              <w:jc w:val="center"/>
              <w:rPr>
                <w:b/>
                <w:sz w:val="20"/>
              </w:rPr>
            </w:pPr>
            <w:r w:rsidRPr="00B67ED2">
              <w:rPr>
                <w:b/>
                <w:sz w:val="20"/>
              </w:rPr>
              <w:t>Individual</w:t>
            </w:r>
          </w:p>
        </w:tc>
        <w:tc>
          <w:tcPr>
            <w:tcW w:w="6092" w:type="dxa"/>
          </w:tcPr>
          <w:p w14:paraId="29FA3FD8" w14:textId="77777777" w:rsidR="00A53F90" w:rsidRPr="00B67ED2" w:rsidRDefault="00A4603B" w:rsidP="00A53F90">
            <w:pPr>
              <w:rPr>
                <w:sz w:val="20"/>
              </w:rPr>
            </w:pPr>
            <w:r w:rsidRPr="00B67ED2">
              <w:rPr>
                <w:sz w:val="20"/>
              </w:rPr>
              <w:t>Student gets more work done alone; may care for their own opinions over others, thinks best and remembers more when alone.</w:t>
            </w:r>
          </w:p>
        </w:tc>
        <w:tc>
          <w:tcPr>
            <w:tcW w:w="1690" w:type="dxa"/>
          </w:tcPr>
          <w:p w14:paraId="00701D2F" w14:textId="77777777" w:rsidR="00A53F90" w:rsidRPr="00B67ED2" w:rsidRDefault="00A53F90" w:rsidP="00A53F90">
            <w:pPr>
              <w:rPr>
                <w:sz w:val="20"/>
              </w:rPr>
            </w:pPr>
          </w:p>
        </w:tc>
      </w:tr>
      <w:tr w:rsidR="00A4603B" w:rsidRPr="00B67ED2" w14:paraId="31F71326" w14:textId="77777777" w:rsidTr="00A4603B">
        <w:trPr>
          <w:trHeight w:val="269"/>
          <w:jc w:val="center"/>
        </w:trPr>
        <w:tc>
          <w:tcPr>
            <w:tcW w:w="1839" w:type="dxa"/>
          </w:tcPr>
          <w:p w14:paraId="21D4A82C" w14:textId="77777777" w:rsidR="00A53F90" w:rsidRPr="00B67ED2" w:rsidRDefault="00A53F90" w:rsidP="00DA25B5">
            <w:pPr>
              <w:jc w:val="center"/>
              <w:rPr>
                <w:b/>
                <w:sz w:val="20"/>
              </w:rPr>
            </w:pPr>
            <w:r w:rsidRPr="00B67ED2">
              <w:rPr>
                <w:b/>
                <w:sz w:val="20"/>
              </w:rPr>
              <w:t>Group</w:t>
            </w:r>
          </w:p>
        </w:tc>
        <w:tc>
          <w:tcPr>
            <w:tcW w:w="6092" w:type="dxa"/>
          </w:tcPr>
          <w:p w14:paraId="76445CAC" w14:textId="77777777" w:rsidR="00A53F90" w:rsidRPr="00B67ED2" w:rsidRDefault="00A4603B" w:rsidP="00A53F90">
            <w:pPr>
              <w:rPr>
                <w:sz w:val="20"/>
              </w:rPr>
            </w:pPr>
            <w:r w:rsidRPr="00B67ED2">
              <w:rPr>
                <w:sz w:val="20"/>
              </w:rPr>
              <w:t>Student prefers working in groups and accomplishes more in this setting.  It also may increase their learning and fact recognition.</w:t>
            </w:r>
          </w:p>
        </w:tc>
        <w:tc>
          <w:tcPr>
            <w:tcW w:w="1690" w:type="dxa"/>
          </w:tcPr>
          <w:p w14:paraId="37A437A2" w14:textId="77777777" w:rsidR="00A53F90" w:rsidRPr="00B67ED2" w:rsidRDefault="00A53F90" w:rsidP="00A53F90">
            <w:pPr>
              <w:rPr>
                <w:sz w:val="20"/>
              </w:rPr>
            </w:pPr>
          </w:p>
        </w:tc>
      </w:tr>
      <w:tr w:rsidR="00A4603B" w:rsidRPr="00B67ED2" w14:paraId="02FED051" w14:textId="77777777" w:rsidTr="00A4603B">
        <w:trPr>
          <w:trHeight w:val="285"/>
          <w:jc w:val="center"/>
        </w:trPr>
        <w:tc>
          <w:tcPr>
            <w:tcW w:w="9621" w:type="dxa"/>
            <w:gridSpan w:val="3"/>
          </w:tcPr>
          <w:p w14:paraId="1E226366" w14:textId="77777777" w:rsidR="00DA25B5" w:rsidRDefault="00DA25B5" w:rsidP="00A4603B">
            <w:pPr>
              <w:jc w:val="center"/>
              <w:rPr>
                <w:b/>
                <w:sz w:val="20"/>
              </w:rPr>
            </w:pPr>
          </w:p>
          <w:p w14:paraId="6EA675B7" w14:textId="77777777" w:rsidR="00A4603B" w:rsidRPr="00B67ED2" w:rsidRDefault="00A4603B" w:rsidP="00A4603B">
            <w:pPr>
              <w:jc w:val="center"/>
              <w:rPr>
                <w:b/>
                <w:sz w:val="20"/>
              </w:rPr>
            </w:pPr>
            <w:r w:rsidRPr="00B67ED2">
              <w:rPr>
                <w:b/>
                <w:sz w:val="20"/>
              </w:rPr>
              <w:t>Expressive Preference</w:t>
            </w:r>
          </w:p>
        </w:tc>
      </w:tr>
      <w:tr w:rsidR="00A4603B" w:rsidRPr="00B67ED2" w14:paraId="79EA6768" w14:textId="77777777" w:rsidTr="00A4603B">
        <w:trPr>
          <w:trHeight w:val="269"/>
          <w:jc w:val="center"/>
        </w:trPr>
        <w:tc>
          <w:tcPr>
            <w:tcW w:w="1839" w:type="dxa"/>
          </w:tcPr>
          <w:p w14:paraId="048A5705" w14:textId="77777777" w:rsidR="00A4603B" w:rsidRPr="00B67ED2" w:rsidRDefault="00A4603B" w:rsidP="00A4603B">
            <w:pPr>
              <w:jc w:val="center"/>
              <w:rPr>
                <w:b/>
                <w:sz w:val="20"/>
              </w:rPr>
            </w:pPr>
            <w:r w:rsidRPr="00B67ED2">
              <w:rPr>
                <w:b/>
                <w:sz w:val="20"/>
              </w:rPr>
              <w:t>Area</w:t>
            </w:r>
          </w:p>
        </w:tc>
        <w:tc>
          <w:tcPr>
            <w:tcW w:w="6092" w:type="dxa"/>
          </w:tcPr>
          <w:p w14:paraId="4A391902" w14:textId="77777777" w:rsidR="00A4603B" w:rsidRPr="00B67ED2" w:rsidRDefault="00A4603B" w:rsidP="00A4603B">
            <w:pPr>
              <w:jc w:val="center"/>
              <w:rPr>
                <w:b/>
                <w:sz w:val="20"/>
              </w:rPr>
            </w:pPr>
            <w:r w:rsidRPr="00B67ED2">
              <w:rPr>
                <w:b/>
                <w:sz w:val="20"/>
              </w:rPr>
              <w:t>Description</w:t>
            </w:r>
          </w:p>
        </w:tc>
        <w:tc>
          <w:tcPr>
            <w:tcW w:w="1690" w:type="dxa"/>
          </w:tcPr>
          <w:p w14:paraId="0B81496C" w14:textId="77777777" w:rsidR="00A4603B" w:rsidRPr="00B67ED2" w:rsidRDefault="00A4603B" w:rsidP="00A4603B">
            <w:pPr>
              <w:jc w:val="center"/>
              <w:rPr>
                <w:b/>
                <w:sz w:val="20"/>
              </w:rPr>
            </w:pPr>
            <w:r w:rsidRPr="00B67ED2">
              <w:rPr>
                <w:b/>
                <w:sz w:val="20"/>
              </w:rPr>
              <w:t>Score Range</w:t>
            </w:r>
          </w:p>
        </w:tc>
      </w:tr>
      <w:tr w:rsidR="00A4603B" w:rsidRPr="00B67ED2" w14:paraId="1C36AA97" w14:textId="77777777" w:rsidTr="00A4603B">
        <w:trPr>
          <w:trHeight w:val="285"/>
          <w:jc w:val="center"/>
        </w:trPr>
        <w:tc>
          <w:tcPr>
            <w:tcW w:w="1839" w:type="dxa"/>
          </w:tcPr>
          <w:p w14:paraId="308E034F" w14:textId="77777777" w:rsidR="00A53F90" w:rsidRPr="00B67ED2" w:rsidRDefault="00A4603B" w:rsidP="00DA25B5">
            <w:pPr>
              <w:jc w:val="center"/>
              <w:rPr>
                <w:b/>
                <w:sz w:val="20"/>
              </w:rPr>
            </w:pPr>
            <w:r w:rsidRPr="00B67ED2">
              <w:rPr>
                <w:b/>
                <w:sz w:val="20"/>
              </w:rPr>
              <w:t>Oral</w:t>
            </w:r>
          </w:p>
        </w:tc>
        <w:tc>
          <w:tcPr>
            <w:tcW w:w="6092" w:type="dxa"/>
          </w:tcPr>
          <w:p w14:paraId="5321B15C" w14:textId="77777777" w:rsidR="00A53F90" w:rsidRPr="00B67ED2" w:rsidRDefault="00A4603B" w:rsidP="00A53F90">
            <w:pPr>
              <w:rPr>
                <w:sz w:val="20"/>
              </w:rPr>
            </w:pPr>
            <w:r w:rsidRPr="00B67ED2">
              <w:rPr>
                <w:sz w:val="20"/>
              </w:rPr>
              <w:t>Student is able to give verbal responses, can speak fluently, comfortably, and precisely; is not shy with reports or talking to others.</w:t>
            </w:r>
          </w:p>
        </w:tc>
        <w:tc>
          <w:tcPr>
            <w:tcW w:w="1690" w:type="dxa"/>
          </w:tcPr>
          <w:p w14:paraId="4E9DF116" w14:textId="77777777" w:rsidR="00A53F90" w:rsidRPr="00B67ED2" w:rsidRDefault="00A53F90" w:rsidP="00A53F90">
            <w:pPr>
              <w:rPr>
                <w:sz w:val="20"/>
              </w:rPr>
            </w:pPr>
          </w:p>
        </w:tc>
      </w:tr>
      <w:tr w:rsidR="00A4603B" w:rsidRPr="00B67ED2" w14:paraId="0EF656E0" w14:textId="77777777" w:rsidTr="00A4603B">
        <w:trPr>
          <w:trHeight w:val="285"/>
          <w:jc w:val="center"/>
        </w:trPr>
        <w:tc>
          <w:tcPr>
            <w:tcW w:w="1839" w:type="dxa"/>
          </w:tcPr>
          <w:p w14:paraId="783B3546" w14:textId="77777777" w:rsidR="00A53F90" w:rsidRPr="00B67ED2" w:rsidRDefault="00A53F90" w:rsidP="00DA25B5">
            <w:pPr>
              <w:jc w:val="center"/>
              <w:rPr>
                <w:b/>
                <w:sz w:val="20"/>
              </w:rPr>
            </w:pPr>
            <w:r w:rsidRPr="00B67ED2">
              <w:rPr>
                <w:b/>
                <w:sz w:val="20"/>
              </w:rPr>
              <w:t>Written</w:t>
            </w:r>
          </w:p>
        </w:tc>
        <w:tc>
          <w:tcPr>
            <w:tcW w:w="6092" w:type="dxa"/>
          </w:tcPr>
          <w:p w14:paraId="1277B724" w14:textId="77777777" w:rsidR="00A53F90" w:rsidRPr="00B67ED2" w:rsidRDefault="00A4603B" w:rsidP="00A53F90">
            <w:pPr>
              <w:rPr>
                <w:sz w:val="20"/>
              </w:rPr>
            </w:pPr>
            <w:r w:rsidRPr="00B67ED2">
              <w:rPr>
                <w:sz w:val="20"/>
              </w:rPr>
              <w:t>Student writes fluently and can qualify responses to convey their knowledge and appear better organized compared to oral responses.</w:t>
            </w:r>
          </w:p>
        </w:tc>
        <w:tc>
          <w:tcPr>
            <w:tcW w:w="1690" w:type="dxa"/>
          </w:tcPr>
          <w:p w14:paraId="15B9AB89" w14:textId="77777777" w:rsidR="00A53F90" w:rsidRPr="00B67ED2" w:rsidRDefault="00A53F90" w:rsidP="00A53F90">
            <w:pPr>
              <w:rPr>
                <w:sz w:val="20"/>
              </w:rPr>
            </w:pPr>
          </w:p>
        </w:tc>
      </w:tr>
    </w:tbl>
    <w:p w14:paraId="499DE871" w14:textId="58F9B7C0" w:rsidR="00B67ED2" w:rsidRDefault="00B67ED2" w:rsidP="00B67ED2">
      <w:pPr>
        <w:jc w:val="center"/>
        <w:rPr>
          <w:b/>
        </w:rPr>
      </w:pPr>
    </w:p>
    <w:p w14:paraId="0F55BB92" w14:textId="77777777" w:rsidR="00CC127A" w:rsidRDefault="00CC127A" w:rsidP="00B67ED2">
      <w:pPr>
        <w:jc w:val="center"/>
        <w:rPr>
          <w:b/>
        </w:rPr>
      </w:pPr>
    </w:p>
    <w:p w14:paraId="2C10DE06" w14:textId="77777777" w:rsidR="00DA25B5" w:rsidRDefault="00DA25B5" w:rsidP="00B67ED2">
      <w:pPr>
        <w:jc w:val="center"/>
        <w:rPr>
          <w:b/>
        </w:rPr>
      </w:pPr>
    </w:p>
    <w:p w14:paraId="67098B88" w14:textId="77777777" w:rsidR="00CC127A" w:rsidRDefault="00CC127A" w:rsidP="00B67ED2">
      <w:pPr>
        <w:jc w:val="center"/>
        <w:rPr>
          <w:b/>
        </w:rPr>
      </w:pPr>
    </w:p>
    <w:p w14:paraId="3BCC2A4D" w14:textId="77777777" w:rsidR="00823194" w:rsidRPr="00B67ED2" w:rsidRDefault="00823194" w:rsidP="00B67ED2">
      <w:pPr>
        <w:jc w:val="center"/>
        <w:rPr>
          <w:b/>
        </w:rPr>
      </w:pPr>
    </w:p>
    <w:p w14:paraId="1ADD7987" w14:textId="77777777" w:rsidR="003232DD" w:rsidRPr="003232DD" w:rsidRDefault="003232DD" w:rsidP="00A53F90">
      <w:pPr>
        <w:rPr>
          <w:b/>
        </w:rPr>
      </w:pPr>
      <w:r w:rsidRPr="003232DD">
        <w:rPr>
          <w:b/>
        </w:rPr>
        <w:lastRenderedPageBreak/>
        <w:t>Simple example of how you may use the information above in the pre-template in the Transition section of the Evaluation Report</w:t>
      </w:r>
    </w:p>
    <w:p w14:paraId="3D8C028A" w14:textId="77777777" w:rsidR="003232DD" w:rsidRPr="003232DD" w:rsidRDefault="003232DD" w:rsidP="003232DD">
      <w:pPr>
        <w:pStyle w:val="NormalWeb"/>
        <w:rPr>
          <w:rFonts w:ascii="Times New Roman" w:hAnsi="Times New Roman"/>
          <w:i/>
          <w:color w:val="000000"/>
          <w:sz w:val="21"/>
          <w:szCs w:val="21"/>
        </w:rPr>
      </w:pPr>
      <w:r w:rsidRPr="003232DD">
        <w:rPr>
          <w:rFonts w:ascii="Times New Roman" w:hAnsi="Times New Roman"/>
          <w:b/>
          <w:color w:val="000000"/>
          <w:sz w:val="21"/>
          <w:szCs w:val="21"/>
        </w:rPr>
        <w:t>1. Interests and Preferences </w:t>
      </w:r>
      <w:r w:rsidRPr="003232DD">
        <w:rPr>
          <w:rFonts w:ascii="Times New Roman" w:hAnsi="Times New Roman"/>
          <w:b/>
          <w:color w:val="000000"/>
          <w:sz w:val="21"/>
          <w:szCs w:val="21"/>
        </w:rPr>
        <w:br/>
        <w:t>a) Child</w:t>
      </w:r>
      <w:r>
        <w:rPr>
          <w:rFonts w:ascii="Times New Roman" w:hAnsi="Times New Roman"/>
          <w:color w:val="000000"/>
          <w:sz w:val="21"/>
          <w:szCs w:val="21"/>
        </w:rPr>
        <w:t xml:space="preserve">:  </w:t>
      </w:r>
      <w:r w:rsidRPr="003232DD">
        <w:rPr>
          <w:rFonts w:ascii="Times New Roman" w:hAnsi="Times New Roman"/>
          <w:i/>
          <w:color w:val="000000"/>
          <w:sz w:val="21"/>
          <w:szCs w:val="21"/>
        </w:rPr>
        <w:t>Based on the C.I.T.E. learning inventory, STUDENT prefers…</w:t>
      </w:r>
      <w:proofErr w:type="gramStart"/>
      <w:r w:rsidRPr="003232DD">
        <w:rPr>
          <w:rFonts w:ascii="Times New Roman" w:hAnsi="Times New Roman"/>
          <w:i/>
          <w:color w:val="000000"/>
          <w:sz w:val="21"/>
          <w:szCs w:val="21"/>
        </w:rPr>
        <w:t>.</w:t>
      </w:r>
      <w:r w:rsidR="00733166">
        <w:rPr>
          <w:rFonts w:ascii="Times New Roman" w:hAnsi="Times New Roman"/>
          <w:i/>
          <w:color w:val="000000"/>
          <w:sz w:val="21"/>
          <w:szCs w:val="21"/>
        </w:rPr>
        <w:t>(</w:t>
      </w:r>
      <w:proofErr w:type="gramEnd"/>
      <w:r w:rsidR="00733166">
        <w:rPr>
          <w:rFonts w:ascii="Times New Roman" w:hAnsi="Times New Roman"/>
          <w:i/>
          <w:color w:val="000000"/>
          <w:sz w:val="21"/>
          <w:szCs w:val="21"/>
        </w:rPr>
        <w:t>list type of learning, work, or expressive styles).</w:t>
      </w:r>
    </w:p>
    <w:p w14:paraId="3F4A4173" w14:textId="77777777" w:rsidR="003232DD" w:rsidRPr="003232DD" w:rsidRDefault="003232DD" w:rsidP="003232DD">
      <w:pPr>
        <w:pStyle w:val="NormalWeb"/>
        <w:rPr>
          <w:rFonts w:ascii="Times New Roman" w:hAnsi="Times New Roman"/>
          <w:color w:val="000000"/>
          <w:sz w:val="21"/>
          <w:szCs w:val="21"/>
        </w:rPr>
      </w:pPr>
      <w:r w:rsidRPr="003232DD">
        <w:rPr>
          <w:rFonts w:ascii="Times New Roman" w:hAnsi="Times New Roman"/>
          <w:i/>
          <w:color w:val="000000"/>
          <w:sz w:val="21"/>
          <w:szCs w:val="21"/>
        </w:rPr>
        <w:br/>
      </w:r>
      <w:r w:rsidRPr="003232DD">
        <w:rPr>
          <w:rFonts w:ascii="Times New Roman" w:hAnsi="Times New Roman"/>
          <w:b/>
          <w:color w:val="000000"/>
          <w:sz w:val="21"/>
          <w:szCs w:val="21"/>
        </w:rPr>
        <w:t>b) Parents:</w:t>
      </w:r>
      <w:r>
        <w:rPr>
          <w:rFonts w:ascii="Times New Roman" w:hAnsi="Times New Roman"/>
          <w:b/>
          <w:color w:val="000000"/>
          <w:sz w:val="21"/>
          <w:szCs w:val="21"/>
        </w:rPr>
        <w:t xml:space="preserve"> </w:t>
      </w:r>
    </w:p>
    <w:p w14:paraId="1EBDA009" w14:textId="77777777" w:rsidR="003232DD" w:rsidRPr="003232DD" w:rsidRDefault="003232DD" w:rsidP="003232DD">
      <w:pPr>
        <w:pStyle w:val="NormalWeb"/>
        <w:rPr>
          <w:rFonts w:ascii="Times New Roman" w:hAnsi="Times New Roman"/>
          <w:b/>
          <w:color w:val="000000"/>
          <w:sz w:val="21"/>
          <w:szCs w:val="21"/>
        </w:rPr>
      </w:pPr>
      <w:r w:rsidRPr="003232DD">
        <w:rPr>
          <w:rFonts w:ascii="Times New Roman" w:hAnsi="Times New Roman"/>
          <w:b/>
          <w:color w:val="000000"/>
          <w:sz w:val="21"/>
          <w:szCs w:val="21"/>
        </w:rPr>
        <w:t xml:space="preserve">2. Assessment Information </w:t>
      </w:r>
      <w:r w:rsidRPr="003232DD">
        <w:rPr>
          <w:rFonts w:ascii="Times New Roman" w:hAnsi="Times New Roman"/>
          <w:b/>
          <w:i/>
          <w:color w:val="000000"/>
          <w:sz w:val="21"/>
          <w:szCs w:val="21"/>
        </w:rPr>
        <w:t>(how the disability affects each area) </w:t>
      </w:r>
      <w:r w:rsidRPr="003232DD">
        <w:rPr>
          <w:rFonts w:ascii="Times New Roman" w:hAnsi="Times New Roman"/>
          <w:b/>
          <w:color w:val="000000"/>
          <w:sz w:val="21"/>
          <w:szCs w:val="21"/>
        </w:rPr>
        <w:br/>
        <w:t>a) Post Secondary Education and Training</w:t>
      </w:r>
      <w:proofErr w:type="gramStart"/>
      <w:r>
        <w:rPr>
          <w:rFonts w:ascii="Times New Roman" w:hAnsi="Times New Roman"/>
          <w:color w:val="000000"/>
          <w:sz w:val="21"/>
          <w:szCs w:val="21"/>
        </w:rPr>
        <w:t>: </w:t>
      </w:r>
      <w:r w:rsidRPr="003232DD">
        <w:rPr>
          <w:rFonts w:ascii="Times New Roman" w:hAnsi="Times New Roman"/>
          <w:b/>
          <w:i/>
          <w:color w:val="000000"/>
          <w:sz w:val="21"/>
          <w:szCs w:val="21"/>
        </w:rPr>
        <w:t xml:space="preserve"> </w:t>
      </w:r>
      <w:proofErr w:type="gramEnd"/>
      <w:r w:rsidRPr="003232DD">
        <w:rPr>
          <w:rFonts w:ascii="Times New Roman" w:hAnsi="Times New Roman"/>
          <w:b/>
          <w:i/>
          <w:color w:val="000000"/>
          <w:sz w:val="21"/>
          <w:szCs w:val="21"/>
        </w:rPr>
        <w:br/>
      </w:r>
    </w:p>
    <w:p w14:paraId="6BB14924" w14:textId="77777777" w:rsidR="003232DD" w:rsidRPr="003232DD" w:rsidRDefault="003232DD" w:rsidP="003232DD">
      <w:pPr>
        <w:pStyle w:val="NormalWeb"/>
        <w:rPr>
          <w:rFonts w:ascii="Times New Roman" w:hAnsi="Times New Roman"/>
          <w:color w:val="000000"/>
          <w:sz w:val="21"/>
          <w:szCs w:val="21"/>
        </w:rPr>
      </w:pPr>
      <w:r w:rsidRPr="003232DD">
        <w:rPr>
          <w:rFonts w:ascii="Times New Roman" w:hAnsi="Times New Roman"/>
          <w:b/>
          <w:color w:val="000000"/>
          <w:sz w:val="21"/>
          <w:szCs w:val="21"/>
        </w:rPr>
        <w:t>b) Employment: </w:t>
      </w:r>
      <w:r w:rsidRPr="003232DD">
        <w:rPr>
          <w:rFonts w:ascii="Times New Roman" w:hAnsi="Times New Roman"/>
          <w:i/>
          <w:color w:val="000000"/>
          <w:sz w:val="21"/>
          <w:szCs w:val="21"/>
        </w:rPr>
        <w:t>Student’s preference for individual work</w:t>
      </w:r>
      <w:r>
        <w:rPr>
          <w:rFonts w:ascii="Times New Roman" w:hAnsi="Times New Roman"/>
          <w:i/>
          <w:color w:val="000000"/>
          <w:sz w:val="21"/>
          <w:szCs w:val="21"/>
        </w:rPr>
        <w:t xml:space="preserve"> over group</w:t>
      </w:r>
      <w:r w:rsidRPr="003232DD">
        <w:rPr>
          <w:rFonts w:ascii="Times New Roman" w:hAnsi="Times New Roman"/>
          <w:i/>
          <w:color w:val="000000"/>
          <w:sz w:val="21"/>
          <w:szCs w:val="21"/>
        </w:rPr>
        <w:t xml:space="preserve"> may limit their future career options</w:t>
      </w:r>
      <w:r>
        <w:rPr>
          <w:rFonts w:ascii="Times New Roman" w:hAnsi="Times New Roman"/>
          <w:i/>
          <w:color w:val="000000"/>
          <w:sz w:val="21"/>
          <w:szCs w:val="21"/>
        </w:rPr>
        <w:t xml:space="preserve"> to individual tasks or behind the scenes work. However, this may provide a more positive experience for student because they excel at independent work.</w:t>
      </w:r>
      <w:r w:rsidRPr="003232DD">
        <w:rPr>
          <w:rFonts w:ascii="Times New Roman" w:hAnsi="Times New Roman"/>
          <w:color w:val="000000"/>
          <w:sz w:val="21"/>
          <w:szCs w:val="21"/>
        </w:rPr>
        <w:br/>
      </w:r>
    </w:p>
    <w:p w14:paraId="0B4FDC0C" w14:textId="77777777" w:rsidR="003232DD" w:rsidRPr="003232DD" w:rsidRDefault="003232DD" w:rsidP="003232DD">
      <w:pPr>
        <w:pStyle w:val="NormalWeb"/>
        <w:rPr>
          <w:rFonts w:ascii="Times New Roman" w:hAnsi="Times New Roman"/>
          <w:color w:val="000000"/>
          <w:sz w:val="21"/>
          <w:szCs w:val="21"/>
        </w:rPr>
      </w:pPr>
      <w:r w:rsidRPr="003232DD">
        <w:rPr>
          <w:rFonts w:ascii="Times New Roman" w:hAnsi="Times New Roman"/>
          <w:b/>
          <w:color w:val="000000"/>
          <w:sz w:val="21"/>
          <w:szCs w:val="21"/>
        </w:rPr>
        <w:t>c) Independent Living (when appropriate, include recreation &amp; leisure, community participation and home living):</w:t>
      </w:r>
    </w:p>
    <w:p w14:paraId="11B9767A" w14:textId="77777777" w:rsidR="00733166" w:rsidRPr="00733166" w:rsidRDefault="003232DD" w:rsidP="003232DD">
      <w:pPr>
        <w:pStyle w:val="NormalWeb"/>
        <w:rPr>
          <w:rFonts w:ascii="Times New Roman" w:hAnsi="Times New Roman"/>
          <w:b/>
          <w:color w:val="000000"/>
          <w:sz w:val="21"/>
          <w:szCs w:val="21"/>
        </w:rPr>
      </w:pPr>
      <w:r w:rsidRPr="00733166">
        <w:rPr>
          <w:rFonts w:ascii="Times New Roman" w:hAnsi="Times New Roman"/>
          <w:b/>
          <w:color w:val="000000"/>
          <w:sz w:val="21"/>
          <w:szCs w:val="21"/>
        </w:rPr>
        <w:t>3. Determination of Needs </w:t>
      </w:r>
      <w:r w:rsidRPr="00733166">
        <w:rPr>
          <w:rFonts w:ascii="Times New Roman" w:hAnsi="Times New Roman"/>
          <w:b/>
          <w:color w:val="000000"/>
          <w:sz w:val="21"/>
          <w:szCs w:val="21"/>
        </w:rPr>
        <w:br/>
        <w:t>a) Need to do: </w:t>
      </w:r>
    </w:p>
    <w:p w14:paraId="1302F00E" w14:textId="77777777" w:rsidR="003232DD" w:rsidRPr="00733166" w:rsidRDefault="003232DD" w:rsidP="003232DD">
      <w:pPr>
        <w:pStyle w:val="NormalWeb"/>
        <w:rPr>
          <w:rFonts w:ascii="Times New Roman" w:hAnsi="Times New Roman"/>
          <w:b/>
          <w:color w:val="000000"/>
          <w:sz w:val="21"/>
          <w:szCs w:val="21"/>
        </w:rPr>
      </w:pPr>
      <w:r>
        <w:rPr>
          <w:rFonts w:ascii="Times New Roman" w:hAnsi="Times New Roman"/>
          <w:color w:val="000000"/>
          <w:sz w:val="21"/>
          <w:szCs w:val="21"/>
        </w:rPr>
        <w:br/>
      </w:r>
      <w:r w:rsidRPr="00733166">
        <w:rPr>
          <w:rFonts w:ascii="Times New Roman" w:hAnsi="Times New Roman"/>
          <w:b/>
          <w:color w:val="000000"/>
          <w:sz w:val="21"/>
          <w:szCs w:val="21"/>
        </w:rPr>
        <w:t>b) Need to learn:</w:t>
      </w:r>
    </w:p>
    <w:p w14:paraId="72BFF25E" w14:textId="77777777" w:rsidR="003232DD" w:rsidRDefault="003232DD" w:rsidP="00A53F90"/>
    <w:sectPr w:rsidR="003232DD" w:rsidSect="003561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61653"/>
    <w:multiLevelType w:val="hybridMultilevel"/>
    <w:tmpl w:val="245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62237"/>
    <w:multiLevelType w:val="hybridMultilevel"/>
    <w:tmpl w:val="A970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31"/>
    <w:rsid w:val="002E78B4"/>
    <w:rsid w:val="003232DD"/>
    <w:rsid w:val="00356185"/>
    <w:rsid w:val="00733166"/>
    <w:rsid w:val="00823194"/>
    <w:rsid w:val="008F6508"/>
    <w:rsid w:val="00A4603B"/>
    <w:rsid w:val="00A53F90"/>
    <w:rsid w:val="00B67ED2"/>
    <w:rsid w:val="00CC127A"/>
    <w:rsid w:val="00DA25B5"/>
    <w:rsid w:val="00DF309B"/>
    <w:rsid w:val="00E31431"/>
    <w:rsid w:val="00F9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0FE8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8B4"/>
    <w:pPr>
      <w:ind w:left="720"/>
      <w:contextualSpacing/>
    </w:pPr>
  </w:style>
  <w:style w:type="table" w:styleId="TableGrid">
    <w:name w:val="Table Grid"/>
    <w:basedOn w:val="TableNormal"/>
    <w:uiPriority w:val="59"/>
    <w:rsid w:val="00A53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232DD"/>
    <w:pPr>
      <w:spacing w:before="100" w:beforeAutospacing="1" w:after="100" w:afterAutospacing="1"/>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8B4"/>
    <w:pPr>
      <w:ind w:left="720"/>
      <w:contextualSpacing/>
    </w:pPr>
  </w:style>
  <w:style w:type="table" w:styleId="TableGrid">
    <w:name w:val="Table Grid"/>
    <w:basedOn w:val="TableNormal"/>
    <w:uiPriority w:val="59"/>
    <w:rsid w:val="00A53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232DD"/>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51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493</Words>
  <Characters>2812</Characters>
  <Application>Microsoft Macintosh Word</Application>
  <DocSecurity>0</DocSecurity>
  <Lines>23</Lines>
  <Paragraphs>6</Paragraphs>
  <ScaleCrop>false</ScaleCrop>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7</cp:revision>
  <dcterms:created xsi:type="dcterms:W3CDTF">2017-10-03T15:46:00Z</dcterms:created>
  <dcterms:modified xsi:type="dcterms:W3CDTF">2017-10-03T18:29:00Z</dcterms:modified>
</cp:coreProperties>
</file>